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1EEE5" w14:textId="77777777" w:rsidR="005B5CE9" w:rsidRDefault="005B5CE9" w:rsidP="005B5CE9">
      <w:pPr>
        <w:snapToGrid w:val="0"/>
        <w:jc w:val="center"/>
      </w:pPr>
    </w:p>
    <w:p w14:paraId="573E6AC8" w14:textId="739C597C" w:rsidR="007617CF" w:rsidRDefault="005B5CE9" w:rsidP="005B5CE9">
      <w:pPr>
        <w:snapToGrid w:val="0"/>
        <w:jc w:val="center"/>
      </w:pPr>
      <w:r>
        <w:t>Limbažos</w:t>
      </w:r>
    </w:p>
    <w:p w14:paraId="10935852" w14:textId="77777777" w:rsidR="00157672" w:rsidRDefault="00157672" w:rsidP="00157672">
      <w:pPr>
        <w:snapToGrid w:val="0"/>
        <w:jc w:val="right"/>
      </w:pPr>
    </w:p>
    <w:p w14:paraId="0EEFCD9C" w14:textId="77777777" w:rsidR="005B5CE9" w:rsidRPr="005B5CE9" w:rsidRDefault="005B5CE9" w:rsidP="005B5CE9">
      <w:pPr>
        <w:jc w:val="center"/>
        <w:rPr>
          <w:b/>
          <w:bCs/>
          <w:lang w:eastAsia="en-US"/>
        </w:rPr>
      </w:pPr>
      <w:bookmarkStart w:id="0" w:name="_Hlk72870291"/>
      <w:r w:rsidRPr="005B5CE9">
        <w:rPr>
          <w:b/>
          <w:bCs/>
          <w:lang w:eastAsia="en-US"/>
        </w:rPr>
        <w:t>PASKAIDROJUMA RAKSTS</w:t>
      </w:r>
    </w:p>
    <w:p w14:paraId="20AF8F2C" w14:textId="38177057" w:rsidR="005B5CE9" w:rsidRPr="005B5CE9" w:rsidRDefault="005B5CE9" w:rsidP="005B5CE9">
      <w:pPr>
        <w:jc w:val="center"/>
        <w:rPr>
          <w:b/>
          <w:bCs/>
        </w:rPr>
      </w:pPr>
      <w:r w:rsidRPr="005B5CE9">
        <w:rPr>
          <w:b/>
          <w:bCs/>
        </w:rPr>
        <w:t xml:space="preserve">Limbažu novada </w:t>
      </w:r>
      <w:r w:rsidRPr="005B5CE9">
        <w:rPr>
          <w:rFonts w:eastAsia="Calibri"/>
          <w:b/>
          <w:szCs w:val="22"/>
          <w:lang w:eastAsia="en-US"/>
        </w:rPr>
        <w:t>pašvaldības</w:t>
      </w:r>
      <w:r w:rsidRPr="005B5CE9">
        <w:rPr>
          <w:rFonts w:eastAsia="Calibri"/>
          <w:szCs w:val="22"/>
          <w:lang w:eastAsia="en-US"/>
        </w:rPr>
        <w:t xml:space="preserve"> </w:t>
      </w:r>
      <w:r w:rsidRPr="005B5CE9">
        <w:rPr>
          <w:b/>
          <w:bCs/>
        </w:rPr>
        <w:t>2021.</w:t>
      </w:r>
      <w:r w:rsidR="00B31774">
        <w:rPr>
          <w:b/>
          <w:bCs/>
        </w:rPr>
        <w:t xml:space="preserve"> </w:t>
      </w:r>
      <w:r w:rsidRPr="005B5CE9">
        <w:rPr>
          <w:b/>
          <w:bCs/>
        </w:rPr>
        <w:t xml:space="preserve">gada </w:t>
      </w:r>
      <w:r w:rsidR="00B31774">
        <w:rPr>
          <w:b/>
          <w:bCs/>
        </w:rPr>
        <w:t>27</w:t>
      </w:r>
      <w:r w:rsidRPr="005B5CE9">
        <w:rPr>
          <w:b/>
          <w:bCs/>
        </w:rPr>
        <w:t>.</w:t>
      </w:r>
      <w:r w:rsidR="00B31774">
        <w:rPr>
          <w:b/>
          <w:bCs/>
        </w:rPr>
        <w:t xml:space="preserve"> </w:t>
      </w:r>
      <w:r w:rsidRPr="005B5CE9">
        <w:rPr>
          <w:b/>
          <w:bCs/>
        </w:rPr>
        <w:t xml:space="preserve">maija saistošajiem noteikumiem Nr. </w:t>
      </w:r>
      <w:r w:rsidR="00B31774">
        <w:rPr>
          <w:b/>
          <w:bCs/>
        </w:rPr>
        <w:t>13</w:t>
      </w:r>
      <w:r w:rsidRPr="005B5CE9">
        <w:rPr>
          <w:b/>
          <w:bCs/>
        </w:rPr>
        <w:t xml:space="preserve"> </w:t>
      </w:r>
    </w:p>
    <w:p w14:paraId="0A1458FD" w14:textId="77777777" w:rsidR="005B5CE9" w:rsidRPr="005B5CE9" w:rsidRDefault="005B5CE9" w:rsidP="005B5CE9">
      <w:pPr>
        <w:jc w:val="center"/>
        <w:rPr>
          <w:b/>
          <w:bCs/>
          <w:lang w:eastAsia="en-US"/>
        </w:rPr>
      </w:pPr>
      <w:r w:rsidRPr="005B5CE9">
        <w:rPr>
          <w:b/>
          <w:bCs/>
        </w:rPr>
        <w:t>„Par aprūpes pakalpojumu nepilngadīgām personām ar invaliditāti”</w:t>
      </w:r>
    </w:p>
    <w:p w14:paraId="49A698C2" w14:textId="77777777" w:rsidR="005B5CE9" w:rsidRPr="005B5CE9" w:rsidRDefault="005B5CE9" w:rsidP="005B5CE9">
      <w:pPr>
        <w:contextualSpacing/>
        <w:rPr>
          <w:rFonts w:eastAsia="Calibri"/>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378"/>
      </w:tblGrid>
      <w:tr w:rsidR="005B5CE9" w:rsidRPr="005B5CE9" w14:paraId="1794F534" w14:textId="77777777" w:rsidTr="006551D3">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73F22D2" w14:textId="77777777" w:rsidR="005B5CE9" w:rsidRPr="005B5CE9" w:rsidRDefault="005B5CE9" w:rsidP="005B5CE9">
            <w:pPr>
              <w:contextualSpacing/>
              <w:jc w:val="center"/>
              <w:rPr>
                <w:rFonts w:eastAsia="Calibri"/>
                <w:b/>
              </w:rPr>
            </w:pPr>
            <w:r w:rsidRPr="005B5CE9">
              <w:rPr>
                <w:rFonts w:eastAsia="Calibri"/>
                <w:b/>
              </w:rPr>
              <w:t xml:space="preserve">Paskaidrojuma </w:t>
            </w:r>
          </w:p>
          <w:p w14:paraId="6C278BAF" w14:textId="77777777" w:rsidR="005B5CE9" w:rsidRPr="005B5CE9" w:rsidRDefault="005B5CE9" w:rsidP="005B5CE9">
            <w:pPr>
              <w:contextualSpacing/>
              <w:jc w:val="center"/>
              <w:rPr>
                <w:rFonts w:eastAsia="Calibri"/>
                <w:b/>
              </w:rPr>
            </w:pPr>
            <w:r w:rsidRPr="005B5CE9">
              <w:rPr>
                <w:rFonts w:eastAsia="Calibri"/>
                <w:b/>
              </w:rPr>
              <w:t>raksta sadaļas</w:t>
            </w:r>
          </w:p>
        </w:tc>
        <w:tc>
          <w:tcPr>
            <w:tcW w:w="6378" w:type="dxa"/>
            <w:tcBorders>
              <w:top w:val="single" w:sz="4" w:space="0" w:color="auto"/>
              <w:left w:val="single" w:sz="4" w:space="0" w:color="auto"/>
              <w:bottom w:val="single" w:sz="4" w:space="0" w:color="auto"/>
              <w:right w:val="single" w:sz="4" w:space="0" w:color="auto"/>
            </w:tcBorders>
            <w:vAlign w:val="center"/>
            <w:hideMark/>
          </w:tcPr>
          <w:p w14:paraId="442697A9" w14:textId="77777777" w:rsidR="005B5CE9" w:rsidRPr="005B5CE9" w:rsidRDefault="005B5CE9" w:rsidP="005B5CE9">
            <w:pPr>
              <w:contextualSpacing/>
              <w:jc w:val="center"/>
              <w:rPr>
                <w:rFonts w:eastAsia="Calibri"/>
                <w:b/>
              </w:rPr>
            </w:pPr>
            <w:r w:rsidRPr="005B5CE9">
              <w:rPr>
                <w:rFonts w:eastAsia="Calibri"/>
                <w:b/>
              </w:rPr>
              <w:t>Norādāmā informācija</w:t>
            </w:r>
          </w:p>
        </w:tc>
      </w:tr>
      <w:tr w:rsidR="005B5CE9" w:rsidRPr="005B5CE9" w14:paraId="23B24251" w14:textId="77777777" w:rsidTr="006551D3">
        <w:trPr>
          <w:trHeight w:val="4875"/>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88F9851" w14:textId="77777777" w:rsidR="005B5CE9" w:rsidRPr="005B5CE9" w:rsidRDefault="005B5CE9" w:rsidP="005B5CE9">
            <w:pPr>
              <w:contextualSpacing/>
              <w:rPr>
                <w:rFonts w:eastAsia="Calibri"/>
                <w:b/>
                <w:bCs/>
              </w:rPr>
            </w:pPr>
            <w:r w:rsidRPr="005B5CE9">
              <w:rPr>
                <w:rFonts w:eastAsia="Calibri"/>
              </w:rPr>
              <w:t>1. Projekta nepieciešamības pamatojums</w:t>
            </w:r>
          </w:p>
        </w:tc>
        <w:tc>
          <w:tcPr>
            <w:tcW w:w="6378" w:type="dxa"/>
            <w:tcBorders>
              <w:top w:val="single" w:sz="4" w:space="0" w:color="auto"/>
              <w:left w:val="single" w:sz="4" w:space="0" w:color="auto"/>
              <w:bottom w:val="single" w:sz="4" w:space="0" w:color="auto"/>
              <w:right w:val="single" w:sz="4" w:space="0" w:color="auto"/>
            </w:tcBorders>
            <w:hideMark/>
          </w:tcPr>
          <w:p w14:paraId="47D33FC1" w14:textId="77777777" w:rsidR="005B5CE9" w:rsidRPr="005B5CE9" w:rsidRDefault="005B5CE9" w:rsidP="005B5CE9">
            <w:pPr>
              <w:shd w:val="clear" w:color="auto" w:fill="FFFFFF"/>
              <w:jc w:val="both"/>
              <w:rPr>
                <w:rFonts w:eastAsia="Calibri"/>
              </w:rPr>
            </w:pPr>
            <w:r w:rsidRPr="005B5CE9">
              <w:rPr>
                <w:rFonts w:eastAsia="Calibri"/>
              </w:rPr>
              <w:t>Sociālo pakalpojumu un sociālās palīdzības likuma 3.panta trešā daļa nosaka: „Kārtību, kādā saņemami pašvaldību sniegtie sociālie pakalpojumi, nosaka pašvaldību saistošajos noteikumos.” Invaliditātes likuma 12. panta pirmajā daļā noteikts „Invaliditātes sekas personām ar invaliditāti mazina:[…] Grozījumi </w:t>
            </w:r>
            <w:hyperlink r:id="rId7" w:tgtFrame="_blank" w:history="1">
              <w:r w:rsidRPr="005B5CE9">
                <w:rPr>
                  <w:rFonts w:eastAsia="Calibri"/>
                </w:rPr>
                <w:t>Invaliditātes likumā</w:t>
              </w:r>
            </w:hyperlink>
            <w:r w:rsidRPr="005B5CE9">
              <w:rPr>
                <w:rFonts w:eastAsia="Calibri"/>
              </w:rPr>
              <w:t xml:space="preserve"> (pieņemti 23.11.2020.) nosaka, ka Invaliditātes likuma 12.panta pirmā daļa papildināma ar 4.</w:t>
            </w:r>
            <w:r w:rsidRPr="005B5CE9">
              <w:rPr>
                <w:rFonts w:eastAsia="Calibri"/>
                <w:vertAlign w:val="superscript"/>
              </w:rPr>
              <w:t>2</w:t>
            </w:r>
            <w:r w:rsidRPr="005B5CE9">
              <w:rPr>
                <w:rFonts w:eastAsia="Calibri"/>
              </w:rPr>
              <w:t> punktu šādā redakcijā:</w:t>
            </w:r>
          </w:p>
          <w:p w14:paraId="0E41B146" w14:textId="77777777" w:rsidR="005B5CE9" w:rsidRPr="005B5CE9" w:rsidRDefault="005B5CE9" w:rsidP="005B5CE9">
            <w:pPr>
              <w:jc w:val="both"/>
              <w:rPr>
                <w:rFonts w:eastAsia="Calibri"/>
              </w:rPr>
            </w:pPr>
            <w:r w:rsidRPr="005B5CE9">
              <w:rPr>
                <w:rFonts w:eastAsia="Calibri"/>
              </w:rPr>
              <w:t>„4.</w:t>
            </w:r>
            <w:r w:rsidRPr="005B5CE9">
              <w:rPr>
                <w:rFonts w:eastAsia="Calibri"/>
                <w:vertAlign w:val="superscript"/>
              </w:rPr>
              <w:t>2</w:t>
            </w:r>
            <w:r w:rsidRPr="005B5CE9">
              <w:rPr>
                <w:rFonts w:eastAsia="Calibri"/>
              </w:rPr>
              <w:t xml:space="preserve"> .Personām no 5 līdz 18 gadu vecumam ar invaliditāti, kurām ir izteikti un smagi funkcionēšanas ierobežojumi, izņemot personas, kuras atrodas ilgstošas sociālās aprūpes institūcijā, stacionārā ārstniecības iestādē vai ieslodzījuma vietā, nodrošinot tiesības pašvaldībā pēc to deklarētās dzīvesvietas saņemt no pašvaldības budžeta apmaksātu aprūpes pakalpojumu;</w:t>
            </w:r>
          </w:p>
          <w:p w14:paraId="093A7BF6" w14:textId="77777777" w:rsidR="005B5CE9" w:rsidRPr="005B5CE9" w:rsidRDefault="005B5CE9" w:rsidP="005B5CE9">
            <w:pPr>
              <w:jc w:val="both"/>
              <w:rPr>
                <w:lang w:eastAsia="en-US"/>
              </w:rPr>
            </w:pPr>
            <w:r w:rsidRPr="005B5CE9">
              <w:rPr>
                <w:rFonts w:eastAsia="Calibri"/>
              </w:rPr>
              <w:t>10. Šā likuma 1. panta 11. un 12. punkts, 12. panta pirmās daļas 4.</w:t>
            </w:r>
            <w:r w:rsidRPr="005B5CE9">
              <w:rPr>
                <w:rFonts w:eastAsia="Calibri"/>
                <w:vertAlign w:val="superscript"/>
              </w:rPr>
              <w:t>1</w:t>
            </w:r>
            <w:r w:rsidRPr="005B5CE9">
              <w:rPr>
                <w:rFonts w:eastAsia="Calibri"/>
              </w:rPr>
              <w:t> un 4.</w:t>
            </w:r>
            <w:r w:rsidRPr="005B5CE9">
              <w:rPr>
                <w:rFonts w:eastAsia="Calibri"/>
                <w:vertAlign w:val="superscript"/>
              </w:rPr>
              <w:t>2</w:t>
            </w:r>
            <w:r w:rsidRPr="005B5CE9">
              <w:rPr>
                <w:rFonts w:eastAsia="Calibri"/>
              </w:rPr>
              <w:t> punkts un 2.</w:t>
            </w:r>
            <w:r w:rsidRPr="005B5CE9">
              <w:rPr>
                <w:rFonts w:eastAsia="Calibri"/>
                <w:vertAlign w:val="superscript"/>
              </w:rPr>
              <w:t>3</w:t>
            </w:r>
            <w:r w:rsidRPr="005B5CE9">
              <w:rPr>
                <w:rFonts w:eastAsia="Calibri"/>
              </w:rPr>
              <w:t>, 2.</w:t>
            </w:r>
            <w:r w:rsidRPr="005B5CE9">
              <w:rPr>
                <w:rFonts w:eastAsia="Calibri"/>
                <w:vertAlign w:val="superscript"/>
              </w:rPr>
              <w:t>4</w:t>
            </w:r>
            <w:r w:rsidRPr="005B5CE9">
              <w:rPr>
                <w:rFonts w:eastAsia="Calibri"/>
              </w:rPr>
              <w:t>, 5.</w:t>
            </w:r>
            <w:r w:rsidRPr="005B5CE9">
              <w:rPr>
                <w:rFonts w:eastAsia="Calibri"/>
                <w:vertAlign w:val="superscript"/>
              </w:rPr>
              <w:t>2</w:t>
            </w:r>
            <w:r w:rsidRPr="005B5CE9">
              <w:rPr>
                <w:rFonts w:eastAsia="Calibri"/>
              </w:rPr>
              <w:t>, 6.</w:t>
            </w:r>
            <w:r w:rsidRPr="005B5CE9">
              <w:rPr>
                <w:rFonts w:eastAsia="Calibri"/>
                <w:vertAlign w:val="superscript"/>
              </w:rPr>
              <w:t>1</w:t>
            </w:r>
            <w:r w:rsidRPr="005B5CE9">
              <w:rPr>
                <w:rFonts w:eastAsia="Calibri"/>
              </w:rPr>
              <w:t>, 6.</w:t>
            </w:r>
            <w:r w:rsidRPr="005B5CE9">
              <w:rPr>
                <w:rFonts w:eastAsia="Calibri"/>
                <w:vertAlign w:val="superscript"/>
              </w:rPr>
              <w:t>2</w:t>
            </w:r>
            <w:r w:rsidRPr="005B5CE9">
              <w:rPr>
                <w:rFonts w:eastAsia="Calibri"/>
              </w:rPr>
              <w:t> un astotā daļa, kā arī grozījumi 12. panta pirmās daļas 3., 3.</w:t>
            </w:r>
            <w:r w:rsidRPr="005B5CE9">
              <w:rPr>
                <w:rFonts w:eastAsia="Calibri"/>
                <w:vertAlign w:val="superscript"/>
              </w:rPr>
              <w:t>1</w:t>
            </w:r>
            <w:r w:rsidRPr="005B5CE9">
              <w:rPr>
                <w:rFonts w:eastAsia="Calibri"/>
              </w:rPr>
              <w:t> punktā un otrajā un 5.</w:t>
            </w:r>
            <w:r w:rsidRPr="005B5CE9">
              <w:rPr>
                <w:rFonts w:eastAsia="Calibri"/>
                <w:vertAlign w:val="superscript"/>
              </w:rPr>
              <w:t>1</w:t>
            </w:r>
            <w:r w:rsidRPr="005B5CE9">
              <w:rPr>
                <w:rFonts w:eastAsia="Calibri"/>
              </w:rPr>
              <w:t> daļā stājas spēkā 2021. gada 1. jūlijā.".</w:t>
            </w:r>
          </w:p>
        </w:tc>
      </w:tr>
      <w:tr w:rsidR="005B5CE9" w:rsidRPr="005B5CE9" w14:paraId="76679182" w14:textId="77777777" w:rsidTr="006551D3">
        <w:trPr>
          <w:trHeight w:val="699"/>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8A6EEE0" w14:textId="77777777" w:rsidR="005B5CE9" w:rsidRPr="005B5CE9" w:rsidRDefault="005B5CE9" w:rsidP="005B5CE9">
            <w:pPr>
              <w:contextualSpacing/>
              <w:rPr>
                <w:rFonts w:eastAsia="Calibri"/>
                <w:b/>
                <w:bCs/>
              </w:rPr>
            </w:pPr>
            <w:r w:rsidRPr="005B5CE9">
              <w:rPr>
                <w:rFonts w:eastAsia="Calibri"/>
              </w:rPr>
              <w:t>2. Īss projekta satura izklāsts</w:t>
            </w:r>
          </w:p>
        </w:tc>
        <w:tc>
          <w:tcPr>
            <w:tcW w:w="6378" w:type="dxa"/>
            <w:tcBorders>
              <w:top w:val="single" w:sz="4" w:space="0" w:color="auto"/>
              <w:left w:val="single" w:sz="4" w:space="0" w:color="auto"/>
              <w:bottom w:val="single" w:sz="4" w:space="0" w:color="auto"/>
              <w:right w:val="single" w:sz="4" w:space="0" w:color="auto"/>
            </w:tcBorders>
            <w:hideMark/>
          </w:tcPr>
          <w:p w14:paraId="0726CBDD" w14:textId="77777777" w:rsidR="005B5CE9" w:rsidRPr="005B5CE9" w:rsidRDefault="005B5CE9" w:rsidP="005B5CE9">
            <w:pPr>
              <w:spacing w:after="32" w:line="249" w:lineRule="auto"/>
              <w:jc w:val="both"/>
            </w:pPr>
            <w:r w:rsidRPr="005B5CE9">
              <w:t>Saistošo noteikumu projekts nosaka no pašvaldības budžeta apmaksāta aprūpes pakalpojuma nepilngadīgām personām no 5 līdz 18 gadu vecumam ar invaliditāti, kurām ir izteikti un smagi funkcionēšanas ierobežojumi, piešķiršanas un saņemšanas kārtību, kā arī lēmumu par aprūpes pakalpojuma piešķiršanu vai atteikumu apstrīdēšanas un pārsūdzības kārtību.</w:t>
            </w:r>
          </w:p>
        </w:tc>
      </w:tr>
      <w:tr w:rsidR="005B5CE9" w:rsidRPr="005B5CE9" w14:paraId="24FF8983" w14:textId="77777777" w:rsidTr="006551D3">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7E461937" w14:textId="77777777" w:rsidR="005B5CE9" w:rsidRPr="005B5CE9" w:rsidRDefault="005B5CE9" w:rsidP="005B5CE9">
            <w:pPr>
              <w:ind w:right="-108"/>
              <w:contextualSpacing/>
              <w:rPr>
                <w:rFonts w:eastAsia="Calibri"/>
                <w:b/>
                <w:bCs/>
              </w:rPr>
            </w:pPr>
            <w:r w:rsidRPr="005B5CE9">
              <w:rPr>
                <w:rFonts w:eastAsia="Calibri"/>
              </w:rPr>
              <w:t>3. Informācija par plānoto projekta ietekmi uz pašvaldības budžetu</w:t>
            </w:r>
          </w:p>
        </w:tc>
        <w:tc>
          <w:tcPr>
            <w:tcW w:w="6378" w:type="dxa"/>
            <w:tcBorders>
              <w:top w:val="single" w:sz="4" w:space="0" w:color="auto"/>
              <w:left w:val="single" w:sz="4" w:space="0" w:color="auto"/>
              <w:bottom w:val="single" w:sz="4" w:space="0" w:color="auto"/>
              <w:right w:val="single" w:sz="4" w:space="0" w:color="auto"/>
            </w:tcBorders>
            <w:hideMark/>
          </w:tcPr>
          <w:p w14:paraId="62424FE2" w14:textId="77777777" w:rsidR="005B5CE9" w:rsidRPr="005B5CE9" w:rsidRDefault="005B5CE9" w:rsidP="005B5CE9">
            <w:pPr>
              <w:jc w:val="both"/>
              <w:rPr>
                <w:rFonts w:eastAsia="Calibri"/>
                <w:bCs/>
              </w:rPr>
            </w:pPr>
            <w:r w:rsidRPr="005B5CE9">
              <w:rPr>
                <w:rFonts w:eastAsia="Calibri"/>
                <w:bCs/>
              </w:rPr>
              <w:t>Neliela ietekme.</w:t>
            </w:r>
          </w:p>
        </w:tc>
      </w:tr>
      <w:tr w:rsidR="005B5CE9" w:rsidRPr="005B5CE9" w14:paraId="4CF96D1C" w14:textId="77777777" w:rsidTr="006551D3">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7A4B3C74" w14:textId="77777777" w:rsidR="005B5CE9" w:rsidRPr="005B5CE9" w:rsidRDefault="005B5CE9" w:rsidP="005B5CE9">
            <w:pPr>
              <w:ind w:right="-108"/>
              <w:contextualSpacing/>
              <w:rPr>
                <w:rFonts w:eastAsia="Calibri"/>
                <w:b/>
                <w:bCs/>
              </w:rPr>
            </w:pPr>
            <w:r w:rsidRPr="005B5CE9">
              <w:rPr>
                <w:rFonts w:eastAsia="Calibri"/>
              </w:rPr>
              <w:t>4. Informācija par plānoto projekta ietekmi uz uzņēmējdarbības vidi pašvaldības teritorijā</w:t>
            </w:r>
          </w:p>
        </w:tc>
        <w:tc>
          <w:tcPr>
            <w:tcW w:w="6378" w:type="dxa"/>
            <w:tcBorders>
              <w:top w:val="single" w:sz="4" w:space="0" w:color="auto"/>
              <w:left w:val="single" w:sz="4" w:space="0" w:color="auto"/>
              <w:bottom w:val="single" w:sz="4" w:space="0" w:color="auto"/>
              <w:right w:val="single" w:sz="4" w:space="0" w:color="auto"/>
            </w:tcBorders>
            <w:hideMark/>
          </w:tcPr>
          <w:p w14:paraId="335B347D" w14:textId="77777777" w:rsidR="005B5CE9" w:rsidRPr="005B5CE9" w:rsidRDefault="005B5CE9" w:rsidP="005B5CE9">
            <w:pPr>
              <w:contextualSpacing/>
              <w:jc w:val="both"/>
              <w:rPr>
                <w:rFonts w:eastAsia="Calibri"/>
                <w:bCs/>
              </w:rPr>
            </w:pPr>
            <w:r w:rsidRPr="005B5CE9">
              <w:rPr>
                <w:rFonts w:eastAsia="Calibri"/>
                <w:bCs/>
              </w:rPr>
              <w:t>Saistošo noteikumu īstenošanai netiek prognozēta tieša ietekme uz uzņēmējdarbības vidi novada pašvaldības teritorijā.</w:t>
            </w:r>
          </w:p>
        </w:tc>
      </w:tr>
      <w:tr w:rsidR="005B5CE9" w:rsidRPr="005B5CE9" w14:paraId="173BD901" w14:textId="77777777" w:rsidTr="006551D3">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7DBB2E0" w14:textId="77777777" w:rsidR="005B5CE9" w:rsidRPr="005B5CE9" w:rsidRDefault="005B5CE9" w:rsidP="005B5CE9">
            <w:pPr>
              <w:contextualSpacing/>
              <w:rPr>
                <w:rFonts w:eastAsia="Calibri"/>
                <w:b/>
                <w:bCs/>
              </w:rPr>
            </w:pPr>
            <w:r w:rsidRPr="005B5CE9">
              <w:rPr>
                <w:rFonts w:eastAsia="Calibri"/>
              </w:rPr>
              <w:t xml:space="preserve">5. Informācija par administratīvajām </w:t>
            </w:r>
            <w:r w:rsidRPr="005B5CE9">
              <w:rPr>
                <w:rFonts w:eastAsia="Calibri"/>
              </w:rPr>
              <w:lastRenderedPageBreak/>
              <w:t>procedūrām</w:t>
            </w:r>
          </w:p>
        </w:tc>
        <w:tc>
          <w:tcPr>
            <w:tcW w:w="6378" w:type="dxa"/>
            <w:tcBorders>
              <w:top w:val="single" w:sz="4" w:space="0" w:color="auto"/>
              <w:left w:val="single" w:sz="4" w:space="0" w:color="auto"/>
              <w:bottom w:val="single" w:sz="4" w:space="0" w:color="auto"/>
              <w:right w:val="single" w:sz="4" w:space="0" w:color="auto"/>
            </w:tcBorders>
            <w:hideMark/>
          </w:tcPr>
          <w:p w14:paraId="6269FDD6" w14:textId="77777777" w:rsidR="005B5CE9" w:rsidRPr="005B5CE9" w:rsidRDefault="005B5CE9" w:rsidP="005B5CE9">
            <w:pPr>
              <w:contextualSpacing/>
              <w:jc w:val="both"/>
              <w:rPr>
                <w:rFonts w:eastAsia="Calibri"/>
                <w:bCs/>
              </w:rPr>
            </w:pPr>
            <w:r w:rsidRPr="005B5CE9">
              <w:rPr>
                <w:rFonts w:eastAsia="Calibri"/>
                <w:bCs/>
              </w:rPr>
              <w:lastRenderedPageBreak/>
              <w:t>Neliela ietekme uz administratīvajām procedūrām.</w:t>
            </w:r>
          </w:p>
        </w:tc>
      </w:tr>
      <w:tr w:rsidR="005B5CE9" w:rsidRPr="005B5CE9" w14:paraId="7DD24678" w14:textId="77777777" w:rsidTr="006551D3">
        <w:trPr>
          <w:trHeight w:val="888"/>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6E00C22B" w14:textId="77777777" w:rsidR="005B5CE9" w:rsidRPr="005B5CE9" w:rsidRDefault="005B5CE9" w:rsidP="005B5CE9">
            <w:pPr>
              <w:ind w:right="-108"/>
              <w:contextualSpacing/>
              <w:rPr>
                <w:rFonts w:eastAsia="Calibri"/>
                <w:b/>
                <w:bCs/>
              </w:rPr>
            </w:pPr>
            <w:r w:rsidRPr="005B5CE9">
              <w:rPr>
                <w:rFonts w:eastAsia="Calibri"/>
              </w:rPr>
              <w:t>6. Informācija par konsultācijām ar privātpersonām</w:t>
            </w:r>
          </w:p>
        </w:tc>
        <w:tc>
          <w:tcPr>
            <w:tcW w:w="6378" w:type="dxa"/>
            <w:tcBorders>
              <w:top w:val="single" w:sz="4" w:space="0" w:color="auto"/>
              <w:left w:val="single" w:sz="4" w:space="0" w:color="auto"/>
              <w:bottom w:val="single" w:sz="4" w:space="0" w:color="auto"/>
              <w:right w:val="single" w:sz="4" w:space="0" w:color="auto"/>
            </w:tcBorders>
            <w:hideMark/>
          </w:tcPr>
          <w:p w14:paraId="2E25DE6A" w14:textId="77777777" w:rsidR="005B5CE9" w:rsidRPr="005B5CE9" w:rsidRDefault="005B5CE9" w:rsidP="005B5CE9">
            <w:pPr>
              <w:contextualSpacing/>
              <w:jc w:val="both"/>
              <w:rPr>
                <w:rFonts w:eastAsia="Calibri"/>
                <w:b/>
                <w:bCs/>
              </w:rPr>
            </w:pPr>
            <w:r w:rsidRPr="005B5CE9">
              <w:rPr>
                <w:rFonts w:eastAsia="Calibri"/>
              </w:rPr>
              <w:t>Nav attiecināms.</w:t>
            </w:r>
          </w:p>
        </w:tc>
      </w:tr>
    </w:tbl>
    <w:p w14:paraId="06E6721E" w14:textId="77777777" w:rsidR="005B5CE9" w:rsidRPr="005B5CE9" w:rsidRDefault="005B5CE9" w:rsidP="005B5CE9">
      <w:pPr>
        <w:contextualSpacing/>
        <w:jc w:val="both"/>
        <w:rPr>
          <w:rFonts w:eastAsia="Calibri"/>
          <w:b/>
          <w:bCs/>
        </w:rPr>
      </w:pPr>
    </w:p>
    <w:p w14:paraId="51B49A93" w14:textId="77777777" w:rsidR="005B5CE9" w:rsidRPr="005B5CE9" w:rsidRDefault="005B5CE9" w:rsidP="005B5CE9">
      <w:pPr>
        <w:contextualSpacing/>
        <w:jc w:val="both"/>
        <w:rPr>
          <w:rFonts w:eastAsia="Calibri"/>
          <w:b/>
          <w:bCs/>
        </w:rPr>
      </w:pPr>
    </w:p>
    <w:p w14:paraId="189AE3A7" w14:textId="77777777" w:rsidR="005B5CE9" w:rsidRPr="005B5CE9" w:rsidRDefault="005B5CE9" w:rsidP="005B5CE9">
      <w:pPr>
        <w:ind w:right="43"/>
        <w:contextualSpacing/>
        <w:rPr>
          <w:rFonts w:eastAsia="Calibri"/>
        </w:rPr>
      </w:pPr>
      <w:r w:rsidRPr="005B5CE9">
        <w:rPr>
          <w:rFonts w:eastAsia="Calibri"/>
        </w:rPr>
        <w:t>Limbažu novada pašvaldības</w:t>
      </w:r>
    </w:p>
    <w:p w14:paraId="091C46E0" w14:textId="3830C7E5" w:rsidR="005B5CE9" w:rsidRPr="005B5CE9" w:rsidRDefault="005B5CE9" w:rsidP="005B5CE9">
      <w:pPr>
        <w:tabs>
          <w:tab w:val="left" w:pos="4678"/>
          <w:tab w:val="left" w:pos="8364"/>
        </w:tabs>
        <w:ind w:right="43"/>
        <w:contextualSpacing/>
        <w:rPr>
          <w:rFonts w:eastAsia="Calibri"/>
        </w:rPr>
      </w:pPr>
      <w:r w:rsidRPr="005B5CE9">
        <w:rPr>
          <w:rFonts w:eastAsia="Calibri"/>
        </w:rPr>
        <w:t xml:space="preserve">Domes </w:t>
      </w:r>
      <w:r w:rsidR="00F61D59">
        <w:rPr>
          <w:rFonts w:eastAsia="Calibri"/>
        </w:rPr>
        <w:t>priekšsēdētājs</w:t>
      </w:r>
      <w:r w:rsidR="00F61D59">
        <w:rPr>
          <w:rFonts w:eastAsia="Calibri"/>
        </w:rPr>
        <w:tab/>
        <w:t>/paraksts/</w:t>
      </w:r>
      <w:r w:rsidR="00F61D59">
        <w:rPr>
          <w:rFonts w:eastAsia="Calibri"/>
        </w:rPr>
        <w:tab/>
      </w:r>
      <w:bookmarkStart w:id="1" w:name="_GoBack"/>
      <w:bookmarkEnd w:id="1"/>
      <w:r w:rsidRPr="005B5CE9">
        <w:rPr>
          <w:rFonts w:eastAsia="Calibri"/>
        </w:rPr>
        <w:t>D. Zemmers</w:t>
      </w:r>
    </w:p>
    <w:bookmarkEnd w:id="0"/>
    <w:p w14:paraId="4962C8FA" w14:textId="77777777" w:rsidR="00D2040E" w:rsidRDefault="00D2040E" w:rsidP="008A6BCF">
      <w:pPr>
        <w:ind w:left="2880" w:firstLine="720"/>
        <w:jc w:val="both"/>
        <w:rPr>
          <w:b/>
        </w:rPr>
      </w:pPr>
    </w:p>
    <w:sectPr w:rsidR="00D2040E" w:rsidSect="00F61D59">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D7009" w14:textId="77777777" w:rsidR="008672A0" w:rsidRDefault="008672A0" w:rsidP="00D2040E">
      <w:r>
        <w:separator/>
      </w:r>
    </w:p>
  </w:endnote>
  <w:endnote w:type="continuationSeparator" w:id="0">
    <w:p w14:paraId="15EAD3F0" w14:textId="77777777" w:rsidR="008672A0" w:rsidRDefault="008672A0" w:rsidP="00D2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90889" w14:textId="77777777" w:rsidR="008672A0" w:rsidRDefault="008672A0" w:rsidP="00D2040E">
      <w:r>
        <w:separator/>
      </w:r>
    </w:p>
  </w:footnote>
  <w:footnote w:type="continuationSeparator" w:id="0">
    <w:p w14:paraId="0A5C9D5E" w14:textId="77777777" w:rsidR="008672A0" w:rsidRDefault="008672A0" w:rsidP="00D20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538432"/>
      <w:docPartObj>
        <w:docPartGallery w:val="Page Numbers (Top of Page)"/>
        <w:docPartUnique/>
      </w:docPartObj>
    </w:sdtPr>
    <w:sdtEndPr/>
    <w:sdtContent>
      <w:p w14:paraId="0DB55CBD" w14:textId="5FBAD185" w:rsidR="007E4955" w:rsidRDefault="007E4955">
        <w:pPr>
          <w:pStyle w:val="Galvene"/>
          <w:jc w:val="center"/>
        </w:pPr>
        <w:r>
          <w:fldChar w:fldCharType="begin"/>
        </w:r>
        <w:r>
          <w:instrText>PAGE   \* MERGEFORMAT</w:instrText>
        </w:r>
        <w:r>
          <w:fldChar w:fldCharType="separate"/>
        </w:r>
        <w:r w:rsidR="00F61D59">
          <w:rPr>
            <w:noProof/>
          </w:rPr>
          <w:t>2</w:t>
        </w:r>
        <w:r>
          <w:fldChar w:fldCharType="end"/>
        </w:r>
      </w:p>
    </w:sdtContent>
  </w:sdt>
  <w:p w14:paraId="0899FE7A" w14:textId="77777777" w:rsidR="007E4955" w:rsidRDefault="007E4955">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A8CE8" w14:textId="186BC0AD" w:rsidR="00D2040E" w:rsidRDefault="00D2040E">
    <w:pPr>
      <w:pStyle w:val="Galvene"/>
    </w:pPr>
    <w:r>
      <w:rPr>
        <w:noProof/>
      </w:rPr>
      <w:drawing>
        <wp:anchor distT="0" distB="0" distL="114300" distR="114300" simplePos="0" relativeHeight="251657216" behindDoc="0" locked="0" layoutInCell="1" allowOverlap="1" wp14:anchorId="78CB6ABC" wp14:editId="6EDDBD32">
          <wp:simplePos x="0" y="0"/>
          <wp:positionH relativeFrom="column">
            <wp:posOffset>-1072515</wp:posOffset>
          </wp:positionH>
          <wp:positionV relativeFrom="paragraph">
            <wp:posOffset>-450215</wp:posOffset>
          </wp:positionV>
          <wp:extent cx="7552690" cy="2327910"/>
          <wp:effectExtent l="0" t="0" r="0" b="0"/>
          <wp:wrapTopAndBottom/>
          <wp:docPr id="5" name="Attēls 5"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710F2"/>
    <w:multiLevelType w:val="multilevel"/>
    <w:tmpl w:val="99CCA88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3636D52"/>
    <w:multiLevelType w:val="hybridMultilevel"/>
    <w:tmpl w:val="BB320838"/>
    <w:lvl w:ilvl="0" w:tplc="70446F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C745124"/>
    <w:multiLevelType w:val="multilevel"/>
    <w:tmpl w:val="06240590"/>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F1A60FC"/>
    <w:multiLevelType w:val="hybridMultilevel"/>
    <w:tmpl w:val="BB10E14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1D05921"/>
    <w:multiLevelType w:val="hybridMultilevel"/>
    <w:tmpl w:val="43D491EE"/>
    <w:lvl w:ilvl="0" w:tplc="C368F704">
      <w:start w:val="1"/>
      <w:numFmt w:val="upperRoman"/>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1E6050">
      <w:start w:val="1"/>
      <w:numFmt w:val="lowerLetter"/>
      <w:lvlText w:val="%2"/>
      <w:lvlJc w:val="left"/>
      <w:pPr>
        <w:ind w:left="2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67EC9E6">
      <w:start w:val="1"/>
      <w:numFmt w:val="lowerRoman"/>
      <w:lvlText w:val="%3"/>
      <w:lvlJc w:val="left"/>
      <w:pPr>
        <w:ind w:left="3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91A0674">
      <w:start w:val="1"/>
      <w:numFmt w:val="decimal"/>
      <w:lvlText w:val="%4"/>
      <w:lvlJc w:val="left"/>
      <w:pPr>
        <w:ind w:left="4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8FABAF8">
      <w:start w:val="1"/>
      <w:numFmt w:val="lowerLetter"/>
      <w:lvlText w:val="%5"/>
      <w:lvlJc w:val="left"/>
      <w:pPr>
        <w:ind w:left="51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B2F776">
      <w:start w:val="1"/>
      <w:numFmt w:val="lowerRoman"/>
      <w:lvlText w:val="%6"/>
      <w:lvlJc w:val="left"/>
      <w:pPr>
        <w:ind w:left="58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2AC678A">
      <w:start w:val="1"/>
      <w:numFmt w:val="decimal"/>
      <w:lvlText w:val="%7"/>
      <w:lvlJc w:val="left"/>
      <w:pPr>
        <w:ind w:left="65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1D8CC36">
      <w:start w:val="1"/>
      <w:numFmt w:val="lowerLetter"/>
      <w:lvlText w:val="%8"/>
      <w:lvlJc w:val="left"/>
      <w:pPr>
        <w:ind w:left="7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5FE7D7A">
      <w:start w:val="1"/>
      <w:numFmt w:val="lowerRoman"/>
      <w:lvlText w:val="%9"/>
      <w:lvlJc w:val="left"/>
      <w:pPr>
        <w:ind w:left="80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AC3379"/>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CE46523"/>
    <w:multiLevelType w:val="multilevel"/>
    <w:tmpl w:val="9926B3DC"/>
    <w:lvl w:ilvl="0">
      <w:start w:val="1"/>
      <w:numFmt w:val="decimal"/>
      <w:lvlText w:val="%1."/>
      <w:lvlJc w:val="left"/>
      <w:pPr>
        <w:ind w:left="644"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F4F2F35"/>
    <w:multiLevelType w:val="multilevel"/>
    <w:tmpl w:val="615091B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1BF2D18"/>
    <w:multiLevelType w:val="multilevel"/>
    <w:tmpl w:val="66AE8F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776553E"/>
    <w:multiLevelType w:val="multilevel"/>
    <w:tmpl w:val="AF586F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C82054A"/>
    <w:multiLevelType w:val="hybridMultilevel"/>
    <w:tmpl w:val="57D8663E"/>
    <w:lvl w:ilvl="0" w:tplc="B8203C9C">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69D2D90"/>
    <w:multiLevelType w:val="hybridMultilevel"/>
    <w:tmpl w:val="2E4805BE"/>
    <w:lvl w:ilvl="0" w:tplc="9D9E5014">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FEFDB0">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E00780">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C0B766">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BC9A68">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862FA">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4DE98">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1EE32C">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0B4C6">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2"/>
  </w:num>
  <w:num w:numId="8">
    <w:abstractNumId w:val="3"/>
  </w:num>
  <w:num w:numId="9">
    <w:abstractNumId w:val="9"/>
  </w:num>
  <w:num w:numId="10">
    <w:abstractNumId w:val="1"/>
  </w:num>
  <w:num w:numId="11">
    <w:abstractNumId w:val="10"/>
  </w:num>
  <w:num w:numId="12">
    <w:abstractNumId w:val="1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EF"/>
    <w:rsid w:val="000002AC"/>
    <w:rsid w:val="00025EBE"/>
    <w:rsid w:val="00037696"/>
    <w:rsid w:val="00037D7A"/>
    <w:rsid w:val="00083144"/>
    <w:rsid w:val="000930EC"/>
    <w:rsid w:val="00093202"/>
    <w:rsid w:val="00096A9B"/>
    <w:rsid w:val="000E7761"/>
    <w:rsid w:val="00104D71"/>
    <w:rsid w:val="00155AFF"/>
    <w:rsid w:val="00157672"/>
    <w:rsid w:val="001850B9"/>
    <w:rsid w:val="001C3BCA"/>
    <w:rsid w:val="001D6119"/>
    <w:rsid w:val="00201C87"/>
    <w:rsid w:val="00203ADC"/>
    <w:rsid w:val="00216BD8"/>
    <w:rsid w:val="00236B93"/>
    <w:rsid w:val="00272F5A"/>
    <w:rsid w:val="002A7FF1"/>
    <w:rsid w:val="002B4F20"/>
    <w:rsid w:val="002F2838"/>
    <w:rsid w:val="003470C8"/>
    <w:rsid w:val="00360949"/>
    <w:rsid w:val="00385AF8"/>
    <w:rsid w:val="003F355A"/>
    <w:rsid w:val="004078C3"/>
    <w:rsid w:val="00407961"/>
    <w:rsid w:val="00441955"/>
    <w:rsid w:val="00443423"/>
    <w:rsid w:val="00464611"/>
    <w:rsid w:val="004861CC"/>
    <w:rsid w:val="00486C72"/>
    <w:rsid w:val="004949C7"/>
    <w:rsid w:val="004C25C5"/>
    <w:rsid w:val="004C575E"/>
    <w:rsid w:val="004E1959"/>
    <w:rsid w:val="0052103A"/>
    <w:rsid w:val="00540EAA"/>
    <w:rsid w:val="005B3CFB"/>
    <w:rsid w:val="005B5CE9"/>
    <w:rsid w:val="005D1BD6"/>
    <w:rsid w:val="005D2945"/>
    <w:rsid w:val="005D5DE5"/>
    <w:rsid w:val="005F1E4A"/>
    <w:rsid w:val="00604ED4"/>
    <w:rsid w:val="00613077"/>
    <w:rsid w:val="00623DD3"/>
    <w:rsid w:val="00626670"/>
    <w:rsid w:val="00661BCB"/>
    <w:rsid w:val="00694943"/>
    <w:rsid w:val="006A4A7A"/>
    <w:rsid w:val="006C26A6"/>
    <w:rsid w:val="006C3828"/>
    <w:rsid w:val="006E09C6"/>
    <w:rsid w:val="006E1F7C"/>
    <w:rsid w:val="006E6A32"/>
    <w:rsid w:val="00710C2B"/>
    <w:rsid w:val="00723891"/>
    <w:rsid w:val="00760114"/>
    <w:rsid w:val="007617CF"/>
    <w:rsid w:val="0078772B"/>
    <w:rsid w:val="00791FBD"/>
    <w:rsid w:val="007E4955"/>
    <w:rsid w:val="00803EF5"/>
    <w:rsid w:val="0081054C"/>
    <w:rsid w:val="0083455D"/>
    <w:rsid w:val="008672A0"/>
    <w:rsid w:val="00891B85"/>
    <w:rsid w:val="00894AE5"/>
    <w:rsid w:val="008A2B05"/>
    <w:rsid w:val="008A6BCF"/>
    <w:rsid w:val="008A6D86"/>
    <w:rsid w:val="008B7517"/>
    <w:rsid w:val="008C1D6E"/>
    <w:rsid w:val="008E2F79"/>
    <w:rsid w:val="008F1C1D"/>
    <w:rsid w:val="008F3CC8"/>
    <w:rsid w:val="00963518"/>
    <w:rsid w:val="009877EA"/>
    <w:rsid w:val="00990DC0"/>
    <w:rsid w:val="009B16FA"/>
    <w:rsid w:val="009C7A58"/>
    <w:rsid w:val="009F4FCE"/>
    <w:rsid w:val="009F522F"/>
    <w:rsid w:val="00A073EF"/>
    <w:rsid w:val="00A14894"/>
    <w:rsid w:val="00A513B2"/>
    <w:rsid w:val="00A54B4F"/>
    <w:rsid w:val="00A8453B"/>
    <w:rsid w:val="00A91B53"/>
    <w:rsid w:val="00AB177A"/>
    <w:rsid w:val="00AC5823"/>
    <w:rsid w:val="00AC6E87"/>
    <w:rsid w:val="00AE1256"/>
    <w:rsid w:val="00B06AAD"/>
    <w:rsid w:val="00B31774"/>
    <w:rsid w:val="00B55642"/>
    <w:rsid w:val="00B640F6"/>
    <w:rsid w:val="00B71766"/>
    <w:rsid w:val="00B821C5"/>
    <w:rsid w:val="00BA6B84"/>
    <w:rsid w:val="00BC0579"/>
    <w:rsid w:val="00BD379F"/>
    <w:rsid w:val="00BE25B8"/>
    <w:rsid w:val="00BE6FFA"/>
    <w:rsid w:val="00BE7C29"/>
    <w:rsid w:val="00C52533"/>
    <w:rsid w:val="00C6367A"/>
    <w:rsid w:val="00C76946"/>
    <w:rsid w:val="00C8395D"/>
    <w:rsid w:val="00C90E9C"/>
    <w:rsid w:val="00CD010E"/>
    <w:rsid w:val="00CD64C4"/>
    <w:rsid w:val="00D12176"/>
    <w:rsid w:val="00D13155"/>
    <w:rsid w:val="00D2040E"/>
    <w:rsid w:val="00D4199E"/>
    <w:rsid w:val="00D64168"/>
    <w:rsid w:val="00D8192D"/>
    <w:rsid w:val="00D84FBA"/>
    <w:rsid w:val="00DA510A"/>
    <w:rsid w:val="00DC309C"/>
    <w:rsid w:val="00DF3E83"/>
    <w:rsid w:val="00E15DDD"/>
    <w:rsid w:val="00E867A8"/>
    <w:rsid w:val="00E86A57"/>
    <w:rsid w:val="00E9293D"/>
    <w:rsid w:val="00EC0D40"/>
    <w:rsid w:val="00EF6A26"/>
    <w:rsid w:val="00F23DD5"/>
    <w:rsid w:val="00F42329"/>
    <w:rsid w:val="00F60FCC"/>
    <w:rsid w:val="00F61D59"/>
    <w:rsid w:val="00F961C6"/>
    <w:rsid w:val="00F97309"/>
    <w:rsid w:val="00FA7B7F"/>
    <w:rsid w:val="00FB2CAA"/>
    <w:rsid w:val="00FC2411"/>
    <w:rsid w:val="00FF5261"/>
    <w:rsid w:val="00FF53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D963"/>
  <w15:docId w15:val="{DC047786-5488-403F-AB5C-C78D26AA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A6BCF"/>
    <w:pPr>
      <w:spacing w:after="0" w:line="240" w:lineRule="auto"/>
    </w:pPr>
    <w:rPr>
      <w:rFonts w:ascii="Times New Roman" w:eastAsia="Times New Roman" w:hAnsi="Times New Roman" w:cs="Times New Roman"/>
      <w:sz w:val="24"/>
      <w:szCs w:val="24"/>
      <w:lang w:eastAsia="lv-LV"/>
    </w:rPr>
  </w:style>
  <w:style w:type="paragraph" w:styleId="Virsraksts1">
    <w:name w:val="heading 1"/>
    <w:next w:val="Parasts"/>
    <w:link w:val="Virsraksts1Rakstz"/>
    <w:uiPriority w:val="9"/>
    <w:qFormat/>
    <w:rsid w:val="008A6BCF"/>
    <w:pPr>
      <w:keepNext/>
      <w:keepLines/>
      <w:numPr>
        <w:numId w:val="13"/>
      </w:numPr>
      <w:spacing w:after="0" w:line="259" w:lineRule="auto"/>
      <w:ind w:left="173" w:hanging="10"/>
      <w:outlineLvl w:val="0"/>
    </w:pPr>
    <w:rPr>
      <w:rFonts w:ascii="Times New Roman" w:eastAsia="Times New Roman" w:hAnsi="Times New Roman" w:cs="Times New Roman"/>
      <w:b/>
      <w:color w:val="000000"/>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073EF"/>
    <w:pPr>
      <w:spacing w:after="200" w:line="276" w:lineRule="auto"/>
      <w:ind w:left="720"/>
      <w:contextualSpacing/>
      <w:jc w:val="both"/>
    </w:pPr>
    <w:rPr>
      <w:rFonts w:eastAsiaTheme="minorHAnsi" w:cstheme="minorBidi"/>
      <w:szCs w:val="22"/>
      <w:lang w:eastAsia="en-US"/>
    </w:rPr>
  </w:style>
  <w:style w:type="paragraph" w:customStyle="1" w:styleId="Default">
    <w:name w:val="Default"/>
    <w:uiPriority w:val="99"/>
    <w:qFormat/>
    <w:rsid w:val="00A073E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4">
    <w:name w:val="Style4"/>
    <w:basedOn w:val="Parasts"/>
    <w:rsid w:val="00A073EF"/>
    <w:pPr>
      <w:widowControl w:val="0"/>
      <w:autoSpaceDE w:val="0"/>
      <w:autoSpaceDN w:val="0"/>
      <w:adjustRightInd w:val="0"/>
      <w:spacing w:line="244" w:lineRule="exact"/>
      <w:jc w:val="right"/>
    </w:pPr>
  </w:style>
  <w:style w:type="character" w:styleId="Hipersaite">
    <w:name w:val="Hyperlink"/>
    <w:basedOn w:val="Noklusjumarindkopasfonts"/>
    <w:uiPriority w:val="99"/>
    <w:unhideWhenUsed/>
    <w:rsid w:val="00A073EF"/>
    <w:rPr>
      <w:color w:val="0000FF" w:themeColor="hyperlink"/>
      <w:u w:val="single"/>
    </w:rPr>
  </w:style>
  <w:style w:type="paragraph" w:styleId="Balonteksts">
    <w:name w:val="Balloon Text"/>
    <w:basedOn w:val="Parasts"/>
    <w:link w:val="BalontekstsRakstz"/>
    <w:uiPriority w:val="99"/>
    <w:semiHidden/>
    <w:unhideWhenUsed/>
    <w:rsid w:val="00661BC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61BCB"/>
    <w:rPr>
      <w:rFonts w:ascii="Tahoma" w:eastAsia="Times New Roman" w:hAnsi="Tahoma" w:cs="Tahoma"/>
      <w:sz w:val="16"/>
      <w:szCs w:val="16"/>
      <w:lang w:eastAsia="lv-LV"/>
    </w:rPr>
  </w:style>
  <w:style w:type="paragraph" w:customStyle="1" w:styleId="tv213">
    <w:name w:val="tv213"/>
    <w:basedOn w:val="Parasts"/>
    <w:rsid w:val="00D4199E"/>
    <w:pPr>
      <w:spacing w:before="100" w:beforeAutospacing="1" w:after="100" w:afterAutospacing="1"/>
    </w:pPr>
  </w:style>
  <w:style w:type="character" w:customStyle="1" w:styleId="Virsraksts1Rakstz">
    <w:name w:val="Virsraksts 1 Rakstz."/>
    <w:basedOn w:val="Noklusjumarindkopasfonts"/>
    <w:link w:val="Virsraksts1"/>
    <w:uiPriority w:val="9"/>
    <w:rsid w:val="008A6BCF"/>
    <w:rPr>
      <w:rFonts w:ascii="Times New Roman" w:eastAsia="Times New Roman" w:hAnsi="Times New Roman" w:cs="Times New Roman"/>
      <w:b/>
      <w:color w:val="000000"/>
      <w:sz w:val="24"/>
      <w:lang w:eastAsia="lv-LV"/>
    </w:rPr>
  </w:style>
  <w:style w:type="paragraph" w:styleId="Galvene">
    <w:name w:val="header"/>
    <w:basedOn w:val="Parasts"/>
    <w:link w:val="GalveneRakstz"/>
    <w:uiPriority w:val="99"/>
    <w:unhideWhenUsed/>
    <w:rsid w:val="00D2040E"/>
    <w:pPr>
      <w:tabs>
        <w:tab w:val="center" w:pos="4153"/>
        <w:tab w:val="right" w:pos="8306"/>
      </w:tabs>
    </w:pPr>
  </w:style>
  <w:style w:type="character" w:customStyle="1" w:styleId="GalveneRakstz">
    <w:name w:val="Galvene Rakstz."/>
    <w:basedOn w:val="Noklusjumarindkopasfonts"/>
    <w:link w:val="Galvene"/>
    <w:uiPriority w:val="99"/>
    <w:rsid w:val="00D2040E"/>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D2040E"/>
    <w:pPr>
      <w:tabs>
        <w:tab w:val="center" w:pos="4153"/>
        <w:tab w:val="right" w:pos="8306"/>
      </w:tabs>
    </w:pPr>
  </w:style>
  <w:style w:type="character" w:customStyle="1" w:styleId="KjeneRakstz">
    <w:name w:val="Kājene Rakstz."/>
    <w:basedOn w:val="Noklusjumarindkopasfonts"/>
    <w:link w:val="Kjene"/>
    <w:uiPriority w:val="99"/>
    <w:rsid w:val="00D2040E"/>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100926">
      <w:bodyDiv w:val="1"/>
      <w:marLeft w:val="0"/>
      <w:marRight w:val="0"/>
      <w:marTop w:val="0"/>
      <w:marBottom w:val="0"/>
      <w:divBdr>
        <w:top w:val="none" w:sz="0" w:space="0" w:color="auto"/>
        <w:left w:val="none" w:sz="0" w:space="0" w:color="auto"/>
        <w:bottom w:val="none" w:sz="0" w:space="0" w:color="auto"/>
        <w:right w:val="none" w:sz="0" w:space="0" w:color="auto"/>
      </w:divBdr>
    </w:div>
    <w:div w:id="881018628">
      <w:bodyDiv w:val="1"/>
      <w:marLeft w:val="0"/>
      <w:marRight w:val="0"/>
      <w:marTop w:val="0"/>
      <w:marBottom w:val="0"/>
      <w:divBdr>
        <w:top w:val="none" w:sz="0" w:space="0" w:color="auto"/>
        <w:left w:val="none" w:sz="0" w:space="0" w:color="auto"/>
        <w:bottom w:val="none" w:sz="0" w:space="0" w:color="auto"/>
        <w:right w:val="none" w:sz="0" w:space="0" w:color="auto"/>
      </w:divBdr>
    </w:div>
    <w:div w:id="1321426261">
      <w:bodyDiv w:val="1"/>
      <w:marLeft w:val="0"/>
      <w:marRight w:val="0"/>
      <w:marTop w:val="0"/>
      <w:marBottom w:val="0"/>
      <w:divBdr>
        <w:top w:val="none" w:sz="0" w:space="0" w:color="auto"/>
        <w:left w:val="none" w:sz="0" w:space="0" w:color="auto"/>
        <w:bottom w:val="none" w:sz="0" w:space="0" w:color="auto"/>
        <w:right w:val="none" w:sz="0" w:space="0" w:color="auto"/>
      </w:divBdr>
    </w:div>
    <w:div w:id="1818304386">
      <w:bodyDiv w:val="1"/>
      <w:marLeft w:val="0"/>
      <w:marRight w:val="0"/>
      <w:marTop w:val="0"/>
      <w:marBottom w:val="0"/>
      <w:divBdr>
        <w:top w:val="none" w:sz="0" w:space="0" w:color="auto"/>
        <w:left w:val="none" w:sz="0" w:space="0" w:color="auto"/>
        <w:bottom w:val="none" w:sz="0" w:space="0" w:color="auto"/>
        <w:right w:val="none" w:sz="0" w:space="0" w:color="auto"/>
      </w:divBdr>
    </w:div>
    <w:div w:id="1960070473">
      <w:bodyDiv w:val="1"/>
      <w:marLeft w:val="0"/>
      <w:marRight w:val="0"/>
      <w:marTop w:val="0"/>
      <w:marBottom w:val="0"/>
      <w:divBdr>
        <w:top w:val="none" w:sz="0" w:space="0" w:color="auto"/>
        <w:left w:val="none" w:sz="0" w:space="0" w:color="auto"/>
        <w:bottom w:val="none" w:sz="0" w:space="0" w:color="auto"/>
        <w:right w:val="none" w:sz="0" w:space="0" w:color="auto"/>
      </w:divBdr>
    </w:div>
    <w:div w:id="2049641793">
      <w:bodyDiv w:val="1"/>
      <w:marLeft w:val="0"/>
      <w:marRight w:val="0"/>
      <w:marTop w:val="0"/>
      <w:marBottom w:val="0"/>
      <w:divBdr>
        <w:top w:val="none" w:sz="0" w:space="0" w:color="auto"/>
        <w:left w:val="none" w:sz="0" w:space="0" w:color="auto"/>
        <w:bottom w:val="none" w:sz="0" w:space="0" w:color="auto"/>
        <w:right w:val="none" w:sz="0" w:space="0" w:color="auto"/>
      </w:divBdr>
      <w:divsChild>
        <w:div w:id="2065105263">
          <w:marLeft w:val="0"/>
          <w:marRight w:val="0"/>
          <w:marTop w:val="0"/>
          <w:marBottom w:val="0"/>
          <w:divBdr>
            <w:top w:val="none" w:sz="0" w:space="0" w:color="auto"/>
            <w:left w:val="none" w:sz="0" w:space="0" w:color="auto"/>
            <w:bottom w:val="none" w:sz="0" w:space="0" w:color="auto"/>
            <w:right w:val="none" w:sz="0" w:space="0" w:color="auto"/>
          </w:divBdr>
        </w:div>
        <w:div w:id="162413">
          <w:marLeft w:val="0"/>
          <w:marRight w:val="0"/>
          <w:marTop w:val="0"/>
          <w:marBottom w:val="0"/>
          <w:divBdr>
            <w:top w:val="none" w:sz="0" w:space="0" w:color="auto"/>
            <w:left w:val="none" w:sz="0" w:space="0" w:color="auto"/>
            <w:bottom w:val="none" w:sz="0" w:space="0" w:color="auto"/>
            <w:right w:val="none" w:sz="0" w:space="0" w:color="auto"/>
          </w:divBdr>
        </w:div>
        <w:div w:id="1434932501">
          <w:marLeft w:val="0"/>
          <w:marRight w:val="0"/>
          <w:marTop w:val="0"/>
          <w:marBottom w:val="0"/>
          <w:divBdr>
            <w:top w:val="none" w:sz="0" w:space="0" w:color="auto"/>
            <w:left w:val="none" w:sz="0" w:space="0" w:color="auto"/>
            <w:bottom w:val="none" w:sz="0" w:space="0" w:color="auto"/>
            <w:right w:val="none" w:sz="0" w:space="0" w:color="auto"/>
          </w:divBdr>
        </w:div>
        <w:div w:id="410859298">
          <w:marLeft w:val="0"/>
          <w:marRight w:val="0"/>
          <w:marTop w:val="0"/>
          <w:marBottom w:val="0"/>
          <w:divBdr>
            <w:top w:val="none" w:sz="0" w:space="0" w:color="auto"/>
            <w:left w:val="none" w:sz="0" w:space="0" w:color="auto"/>
            <w:bottom w:val="none" w:sz="0" w:space="0" w:color="auto"/>
            <w:right w:val="none" w:sz="0" w:space="0" w:color="auto"/>
          </w:divBdr>
        </w:div>
        <w:div w:id="891111341">
          <w:marLeft w:val="0"/>
          <w:marRight w:val="0"/>
          <w:marTop w:val="0"/>
          <w:marBottom w:val="0"/>
          <w:divBdr>
            <w:top w:val="none" w:sz="0" w:space="0" w:color="auto"/>
            <w:left w:val="none" w:sz="0" w:space="0" w:color="auto"/>
            <w:bottom w:val="none" w:sz="0" w:space="0" w:color="auto"/>
            <w:right w:val="none" w:sz="0" w:space="0" w:color="auto"/>
          </w:divBdr>
        </w:div>
        <w:div w:id="1628271245">
          <w:marLeft w:val="0"/>
          <w:marRight w:val="0"/>
          <w:marTop w:val="0"/>
          <w:marBottom w:val="0"/>
          <w:divBdr>
            <w:top w:val="none" w:sz="0" w:space="0" w:color="auto"/>
            <w:left w:val="none" w:sz="0" w:space="0" w:color="auto"/>
            <w:bottom w:val="none" w:sz="0" w:space="0" w:color="auto"/>
            <w:right w:val="none" w:sz="0" w:space="0" w:color="auto"/>
          </w:divBdr>
        </w:div>
        <w:div w:id="749666590">
          <w:marLeft w:val="0"/>
          <w:marRight w:val="0"/>
          <w:marTop w:val="0"/>
          <w:marBottom w:val="0"/>
          <w:divBdr>
            <w:top w:val="none" w:sz="0" w:space="0" w:color="auto"/>
            <w:left w:val="none" w:sz="0" w:space="0" w:color="auto"/>
            <w:bottom w:val="none" w:sz="0" w:space="0" w:color="auto"/>
            <w:right w:val="none" w:sz="0" w:space="0" w:color="auto"/>
          </w:divBdr>
        </w:div>
        <w:div w:id="1640264472">
          <w:marLeft w:val="0"/>
          <w:marRight w:val="0"/>
          <w:marTop w:val="0"/>
          <w:marBottom w:val="0"/>
          <w:divBdr>
            <w:top w:val="none" w:sz="0" w:space="0" w:color="auto"/>
            <w:left w:val="none" w:sz="0" w:space="0" w:color="auto"/>
            <w:bottom w:val="none" w:sz="0" w:space="0" w:color="auto"/>
            <w:right w:val="none" w:sz="0" w:space="0" w:color="auto"/>
          </w:divBdr>
        </w:div>
        <w:div w:id="2135782744">
          <w:marLeft w:val="0"/>
          <w:marRight w:val="0"/>
          <w:marTop w:val="0"/>
          <w:marBottom w:val="0"/>
          <w:divBdr>
            <w:top w:val="none" w:sz="0" w:space="0" w:color="auto"/>
            <w:left w:val="none" w:sz="0" w:space="0" w:color="auto"/>
            <w:bottom w:val="none" w:sz="0" w:space="0" w:color="auto"/>
            <w:right w:val="none" w:sz="0" w:space="0" w:color="auto"/>
          </w:divBdr>
        </w:div>
        <w:div w:id="1384452021">
          <w:marLeft w:val="0"/>
          <w:marRight w:val="0"/>
          <w:marTop w:val="0"/>
          <w:marBottom w:val="0"/>
          <w:divBdr>
            <w:top w:val="none" w:sz="0" w:space="0" w:color="auto"/>
            <w:left w:val="none" w:sz="0" w:space="0" w:color="auto"/>
            <w:bottom w:val="none" w:sz="0" w:space="0" w:color="auto"/>
            <w:right w:val="none" w:sz="0" w:space="0" w:color="auto"/>
          </w:divBdr>
        </w:div>
        <w:div w:id="506024139">
          <w:marLeft w:val="0"/>
          <w:marRight w:val="0"/>
          <w:marTop w:val="0"/>
          <w:marBottom w:val="0"/>
          <w:divBdr>
            <w:top w:val="none" w:sz="0" w:space="0" w:color="auto"/>
            <w:left w:val="none" w:sz="0" w:space="0" w:color="auto"/>
            <w:bottom w:val="none" w:sz="0" w:space="0" w:color="auto"/>
            <w:right w:val="none" w:sz="0" w:space="0" w:color="auto"/>
          </w:divBdr>
        </w:div>
        <w:div w:id="492723135">
          <w:marLeft w:val="0"/>
          <w:marRight w:val="0"/>
          <w:marTop w:val="0"/>
          <w:marBottom w:val="0"/>
          <w:divBdr>
            <w:top w:val="none" w:sz="0" w:space="0" w:color="auto"/>
            <w:left w:val="none" w:sz="0" w:space="0" w:color="auto"/>
            <w:bottom w:val="none" w:sz="0" w:space="0" w:color="auto"/>
            <w:right w:val="none" w:sz="0" w:space="0" w:color="auto"/>
          </w:divBdr>
        </w:div>
        <w:div w:id="1620992235">
          <w:marLeft w:val="0"/>
          <w:marRight w:val="0"/>
          <w:marTop w:val="0"/>
          <w:marBottom w:val="0"/>
          <w:divBdr>
            <w:top w:val="none" w:sz="0" w:space="0" w:color="auto"/>
            <w:left w:val="none" w:sz="0" w:space="0" w:color="auto"/>
            <w:bottom w:val="none" w:sz="0" w:space="0" w:color="auto"/>
            <w:right w:val="none" w:sz="0" w:space="0" w:color="auto"/>
          </w:divBdr>
        </w:div>
        <w:div w:id="1097562249">
          <w:marLeft w:val="0"/>
          <w:marRight w:val="0"/>
          <w:marTop w:val="0"/>
          <w:marBottom w:val="0"/>
          <w:divBdr>
            <w:top w:val="none" w:sz="0" w:space="0" w:color="auto"/>
            <w:left w:val="none" w:sz="0" w:space="0" w:color="auto"/>
            <w:bottom w:val="none" w:sz="0" w:space="0" w:color="auto"/>
            <w:right w:val="none" w:sz="0" w:space="0" w:color="auto"/>
          </w:divBdr>
        </w:div>
        <w:div w:id="1076778954">
          <w:marLeft w:val="0"/>
          <w:marRight w:val="0"/>
          <w:marTop w:val="0"/>
          <w:marBottom w:val="0"/>
          <w:divBdr>
            <w:top w:val="none" w:sz="0" w:space="0" w:color="auto"/>
            <w:left w:val="none" w:sz="0" w:space="0" w:color="auto"/>
            <w:bottom w:val="none" w:sz="0" w:space="0" w:color="auto"/>
            <w:right w:val="none" w:sz="0" w:space="0" w:color="auto"/>
          </w:divBdr>
        </w:div>
        <w:div w:id="143009818">
          <w:marLeft w:val="0"/>
          <w:marRight w:val="0"/>
          <w:marTop w:val="0"/>
          <w:marBottom w:val="0"/>
          <w:divBdr>
            <w:top w:val="none" w:sz="0" w:space="0" w:color="auto"/>
            <w:left w:val="none" w:sz="0" w:space="0" w:color="auto"/>
            <w:bottom w:val="none" w:sz="0" w:space="0" w:color="auto"/>
            <w:right w:val="none" w:sz="0" w:space="0" w:color="auto"/>
          </w:divBdr>
        </w:div>
        <w:div w:id="2091149970">
          <w:marLeft w:val="0"/>
          <w:marRight w:val="0"/>
          <w:marTop w:val="0"/>
          <w:marBottom w:val="0"/>
          <w:divBdr>
            <w:top w:val="none" w:sz="0" w:space="0" w:color="auto"/>
            <w:left w:val="none" w:sz="0" w:space="0" w:color="auto"/>
            <w:bottom w:val="none" w:sz="0" w:space="0" w:color="auto"/>
            <w:right w:val="none" w:sz="0" w:space="0" w:color="auto"/>
          </w:divBdr>
        </w:div>
        <w:div w:id="113868383">
          <w:marLeft w:val="0"/>
          <w:marRight w:val="0"/>
          <w:marTop w:val="0"/>
          <w:marBottom w:val="0"/>
          <w:divBdr>
            <w:top w:val="none" w:sz="0" w:space="0" w:color="auto"/>
            <w:left w:val="none" w:sz="0" w:space="0" w:color="auto"/>
            <w:bottom w:val="none" w:sz="0" w:space="0" w:color="auto"/>
            <w:right w:val="none" w:sz="0" w:space="0" w:color="auto"/>
          </w:divBdr>
        </w:div>
        <w:div w:id="846016859">
          <w:marLeft w:val="0"/>
          <w:marRight w:val="0"/>
          <w:marTop w:val="0"/>
          <w:marBottom w:val="0"/>
          <w:divBdr>
            <w:top w:val="none" w:sz="0" w:space="0" w:color="auto"/>
            <w:left w:val="none" w:sz="0" w:space="0" w:color="auto"/>
            <w:bottom w:val="none" w:sz="0" w:space="0" w:color="auto"/>
            <w:right w:val="none" w:sz="0" w:space="0" w:color="auto"/>
          </w:divBdr>
        </w:div>
        <w:div w:id="58024134">
          <w:marLeft w:val="0"/>
          <w:marRight w:val="0"/>
          <w:marTop w:val="0"/>
          <w:marBottom w:val="0"/>
          <w:divBdr>
            <w:top w:val="none" w:sz="0" w:space="0" w:color="auto"/>
            <w:left w:val="none" w:sz="0" w:space="0" w:color="auto"/>
            <w:bottom w:val="none" w:sz="0" w:space="0" w:color="auto"/>
            <w:right w:val="none" w:sz="0" w:space="0" w:color="auto"/>
          </w:divBdr>
        </w:div>
        <w:div w:id="649596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kumi.lv/ta/id/211494-invaliditate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1475</Words>
  <Characters>841</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Zālīte</dc:creator>
  <cp:lastModifiedBy>Dace Tauriņa</cp:lastModifiedBy>
  <cp:revision>15</cp:revision>
  <cp:lastPrinted>2021-06-17T06:37:00Z</cp:lastPrinted>
  <dcterms:created xsi:type="dcterms:W3CDTF">2021-05-12T10:40:00Z</dcterms:created>
  <dcterms:modified xsi:type="dcterms:W3CDTF">2021-06-17T06:38:00Z</dcterms:modified>
</cp:coreProperties>
</file>