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4D89" w14:textId="77777777" w:rsidR="00860174" w:rsidRDefault="005148A7">
      <w:pPr>
        <w:pStyle w:val="Galvene"/>
        <w:jc w:val="center"/>
        <w:rPr>
          <w:b/>
        </w:rPr>
      </w:pPr>
      <w:r>
        <w:rPr>
          <w:b/>
        </w:rPr>
        <w:t>LIMBAŽU NOVADA PAŠVALDĪBA</w:t>
      </w:r>
    </w:p>
    <w:p w14:paraId="08EC56F1" w14:textId="77777777" w:rsidR="00860174" w:rsidRDefault="005148A7">
      <w:pPr>
        <w:pStyle w:val="Galvene"/>
        <w:jc w:val="center"/>
      </w:pPr>
      <w:r>
        <w:t>Reģ.Nr. 90009114631, Rīgas iela 16, Limbaži, Limbažu novads, LV-4001</w:t>
      </w:r>
    </w:p>
    <w:p w14:paraId="6DD00AAE" w14:textId="77777777" w:rsidR="00860174" w:rsidRDefault="00860174">
      <w:pPr>
        <w:jc w:val="center"/>
        <w:rPr>
          <w:b/>
        </w:rPr>
      </w:pPr>
    </w:p>
    <w:p w14:paraId="613698B7" w14:textId="77777777" w:rsidR="00860174" w:rsidRDefault="005148A7">
      <w:pPr>
        <w:jc w:val="center"/>
        <w:rPr>
          <w:b/>
        </w:rPr>
      </w:pPr>
      <w:r>
        <w:rPr>
          <w:b/>
        </w:rPr>
        <w:t>UZAICINĀJUMS IESNIEGT PIEDĀVĀJUMU CENU APTAUJAI</w:t>
      </w:r>
    </w:p>
    <w:p w14:paraId="068D86B7" w14:textId="77777777" w:rsidR="00860174" w:rsidRDefault="00860174">
      <w:pPr>
        <w:jc w:val="both"/>
      </w:pPr>
    </w:p>
    <w:p w14:paraId="7E75D2F9" w14:textId="7C3124E9" w:rsidR="00860174" w:rsidRPr="004E2981" w:rsidRDefault="005148A7">
      <w:pPr>
        <w:jc w:val="both"/>
      </w:pPr>
      <w:r w:rsidRPr="004E2981">
        <w:t>Limbažu novada pašvaldība uzaicina Jūs iesniegt savu piedāvājumu cenu aptaujai</w:t>
      </w:r>
      <w:r w:rsidRPr="004E2981">
        <w:rPr>
          <w:b/>
          <w:bCs/>
        </w:rPr>
        <w:t xml:space="preserve"> </w:t>
      </w:r>
      <w:bookmarkStart w:id="0" w:name="_Hlk117093069"/>
      <w:r w:rsidRPr="004E2981">
        <w:rPr>
          <w:b/>
          <w:bCs/>
        </w:rPr>
        <w:t>“</w:t>
      </w:r>
      <w:bookmarkStart w:id="1" w:name="_Hlk129614080"/>
      <w:bookmarkEnd w:id="0"/>
      <w:r w:rsidR="007533D8">
        <w:rPr>
          <w:b/>
          <w:bCs/>
          <w:i/>
          <w:iCs/>
        </w:rPr>
        <w:t>Ēkas V. Sārmes ielā 10, Limbažos energosertifikāta aktualizācija</w:t>
      </w:r>
      <w:bookmarkEnd w:id="1"/>
      <w:r w:rsidRPr="004E2981">
        <w:rPr>
          <w:b/>
          <w:bCs/>
          <w:i/>
        </w:rPr>
        <w:t>”</w:t>
      </w:r>
    </w:p>
    <w:p w14:paraId="092B9904" w14:textId="10351A9A" w:rsidR="00860174" w:rsidRPr="004E2981" w:rsidRDefault="005148A7">
      <w:pPr>
        <w:pStyle w:val="Sarakstarindkopa"/>
        <w:numPr>
          <w:ilvl w:val="0"/>
          <w:numId w:val="5"/>
        </w:numPr>
        <w:tabs>
          <w:tab w:val="left" w:pos="540"/>
        </w:tabs>
        <w:ind w:left="284" w:hanging="284"/>
        <w:jc w:val="both"/>
      </w:pPr>
      <w:r w:rsidRPr="004E2981">
        <w:t xml:space="preserve">Līguma izpildes termiņš:  </w:t>
      </w:r>
      <w:r w:rsidR="00B347E6">
        <w:t>1</w:t>
      </w:r>
      <w:r w:rsidRPr="004E2981">
        <w:t xml:space="preserve"> (</w:t>
      </w:r>
      <w:r w:rsidR="00B347E6">
        <w:t>viena</w:t>
      </w:r>
      <w:r w:rsidRPr="004E2981">
        <w:t xml:space="preserve">) </w:t>
      </w:r>
      <w:r w:rsidR="00B96A1F">
        <w:t>mēneš</w:t>
      </w:r>
      <w:r w:rsidR="00B347E6">
        <w:t>a</w:t>
      </w:r>
      <w:r w:rsidR="00B96A1F">
        <w:t xml:space="preserve"> laikā</w:t>
      </w:r>
      <w:r w:rsidRPr="004E2981">
        <w:t xml:space="preserve"> no līguma noslēgšanas dienas</w:t>
      </w:r>
      <w:r w:rsidR="00094D6F" w:rsidRPr="004E2981">
        <w:t>.</w:t>
      </w:r>
    </w:p>
    <w:p w14:paraId="6899D9FC" w14:textId="2F6FCC4B" w:rsidR="00860174" w:rsidRDefault="00B96A1F">
      <w:pPr>
        <w:pStyle w:val="Sarakstarindkopa"/>
        <w:numPr>
          <w:ilvl w:val="0"/>
          <w:numId w:val="5"/>
        </w:numPr>
        <w:tabs>
          <w:tab w:val="left" w:pos="540"/>
        </w:tabs>
        <w:ind w:left="284" w:hanging="284"/>
        <w:jc w:val="both"/>
      </w:pPr>
      <w:r>
        <w:t>Līguma izpildes</w:t>
      </w:r>
      <w:r w:rsidR="005148A7">
        <w:t xml:space="preserve"> vieta: </w:t>
      </w:r>
      <w:r>
        <w:t>V. Sārmes iela 10</w:t>
      </w:r>
      <w:r w:rsidR="005148A7">
        <w:rPr>
          <w:bCs/>
        </w:rPr>
        <w:t>, Limbaži, Limbažu novads.</w:t>
      </w:r>
    </w:p>
    <w:p w14:paraId="71813FE9" w14:textId="6D327D9B" w:rsidR="00B96A1F" w:rsidRDefault="005148A7" w:rsidP="00B96A1F">
      <w:pPr>
        <w:pStyle w:val="Sarakstarindkopa"/>
        <w:numPr>
          <w:ilvl w:val="0"/>
          <w:numId w:val="5"/>
        </w:numPr>
        <w:tabs>
          <w:tab w:val="left" w:pos="540"/>
        </w:tabs>
        <w:ind w:left="284" w:hanging="284"/>
        <w:jc w:val="both"/>
      </w:pPr>
      <w:r>
        <w:t>Līguma apmaksa:</w:t>
      </w:r>
      <w:r w:rsidR="00E24F80">
        <w:t xml:space="preserve"> </w:t>
      </w:r>
      <w:r w:rsidR="00B96A1F" w:rsidRPr="00B96A1F">
        <w:t>15 (piecpadsmit) darba dienu laikā pēc pakalpojuma pieņemšanas – nodošanas akta parakstīšanas un izpildītāja rēķina saņemšanas</w:t>
      </w:r>
      <w:r w:rsidR="006C0D2C">
        <w:t>.</w:t>
      </w:r>
      <w:r w:rsidR="00706A54">
        <w:t xml:space="preserve"> </w:t>
      </w:r>
    </w:p>
    <w:p w14:paraId="1C967891" w14:textId="77777777" w:rsidR="00CE05EB" w:rsidRPr="00B35F98" w:rsidRDefault="00CE05EB" w:rsidP="00CE05EB">
      <w:pPr>
        <w:pStyle w:val="Sarakstarindkopa"/>
        <w:numPr>
          <w:ilvl w:val="0"/>
          <w:numId w:val="5"/>
        </w:numPr>
        <w:tabs>
          <w:tab w:val="left" w:pos="540"/>
        </w:tabs>
        <w:ind w:left="284" w:hanging="284"/>
        <w:jc w:val="both"/>
      </w:pPr>
      <w:r w:rsidRPr="00020486">
        <w:t>Piedāvājuma izvēles kritērijs ir –</w:t>
      </w:r>
      <w:r w:rsidRPr="00B35F98">
        <w:rPr>
          <w:b/>
          <w:bCs/>
        </w:rPr>
        <w:t xml:space="preserve"> </w:t>
      </w:r>
      <w:r w:rsidRPr="00B35F98">
        <w:rPr>
          <w:bCs/>
        </w:rPr>
        <w:t>piedāvājums ar viszemāko cenu.</w:t>
      </w:r>
    </w:p>
    <w:p w14:paraId="134AAC23" w14:textId="77777777" w:rsidR="00B248FA" w:rsidRDefault="005148A7" w:rsidP="00B248FA">
      <w:pPr>
        <w:pStyle w:val="Sarakstarindkopa"/>
        <w:numPr>
          <w:ilvl w:val="0"/>
          <w:numId w:val="5"/>
        </w:numPr>
        <w:tabs>
          <w:tab w:val="left" w:pos="540"/>
        </w:tabs>
        <w:ind w:left="284" w:hanging="284"/>
        <w:jc w:val="both"/>
      </w:pPr>
      <w:r>
        <w:t>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w:t>
      </w:r>
      <w:r w:rsidR="00B248FA">
        <w:t xml:space="preserve">u. </w:t>
      </w:r>
    </w:p>
    <w:p w14:paraId="360636C3" w14:textId="7B80B272" w:rsidR="00860174" w:rsidRDefault="005148A7" w:rsidP="00B248FA">
      <w:pPr>
        <w:pStyle w:val="Sarakstarindkopa"/>
        <w:numPr>
          <w:ilvl w:val="0"/>
          <w:numId w:val="5"/>
        </w:numPr>
        <w:tabs>
          <w:tab w:val="left" w:pos="540"/>
        </w:tabs>
        <w:ind w:left="284" w:hanging="284"/>
        <w:jc w:val="both"/>
      </w:pPr>
      <w:r>
        <w:t xml:space="preserve">Kontaktpersona: </w:t>
      </w:r>
      <w:r w:rsidR="00B96A1F" w:rsidRPr="00B96A1F">
        <w:t>Limbažu novada pašvaldības</w:t>
      </w:r>
      <w:r w:rsidR="001F2081">
        <w:t xml:space="preserve"> </w:t>
      </w:r>
      <w:r w:rsidR="00B96A1F" w:rsidRPr="00B96A1F">
        <w:t>Attīstības un projektu nodaļas attīstības un projektu koordinatore Sintija Zute, tel. 25632210</w:t>
      </w:r>
      <w:r w:rsidR="001F2081">
        <w:t xml:space="preserve"> </w:t>
      </w:r>
    </w:p>
    <w:p w14:paraId="15FB5E8D" w14:textId="77777777" w:rsidR="00B96A1F" w:rsidRDefault="00B96A1F" w:rsidP="00B96A1F">
      <w:pPr>
        <w:pStyle w:val="Sarakstarindkopa1"/>
        <w:tabs>
          <w:tab w:val="left" w:pos="540"/>
        </w:tabs>
        <w:ind w:left="0"/>
        <w:jc w:val="both"/>
      </w:pPr>
    </w:p>
    <w:p w14:paraId="276F9C26" w14:textId="689B6D9F" w:rsidR="00860174" w:rsidRPr="008D1370" w:rsidRDefault="005148A7">
      <w:pPr>
        <w:tabs>
          <w:tab w:val="left" w:pos="540"/>
        </w:tabs>
        <w:jc w:val="both"/>
        <w:rPr>
          <w:color w:val="FF0000"/>
        </w:rPr>
      </w:pPr>
      <w:r>
        <w:t xml:space="preserve">Piedāvājumus cenu aptaujai var </w:t>
      </w:r>
      <w:r w:rsidRPr="00CB4C4D">
        <w:t xml:space="preserve">iesniegt līdz </w:t>
      </w:r>
      <w:r w:rsidRPr="00CB4C4D">
        <w:rPr>
          <w:b/>
          <w:bCs/>
        </w:rPr>
        <w:t>202</w:t>
      </w:r>
      <w:r w:rsidR="00E24F80" w:rsidRPr="00CB4C4D">
        <w:rPr>
          <w:b/>
          <w:bCs/>
        </w:rPr>
        <w:t>3</w:t>
      </w:r>
      <w:r w:rsidRPr="00CB4C4D">
        <w:rPr>
          <w:b/>
          <w:bCs/>
        </w:rPr>
        <w:t>. gad</w:t>
      </w:r>
      <w:r w:rsidR="00DC482E" w:rsidRPr="00CB4C4D">
        <w:rPr>
          <w:b/>
          <w:bCs/>
          <w:shd w:val="clear" w:color="auto" w:fill="FFFFFF"/>
        </w:rPr>
        <w:t xml:space="preserve">a </w:t>
      </w:r>
      <w:r w:rsidR="00D41297">
        <w:rPr>
          <w:b/>
          <w:bCs/>
          <w:shd w:val="clear" w:color="auto" w:fill="FFFFFF"/>
        </w:rPr>
        <w:t>28</w:t>
      </w:r>
      <w:r w:rsidRPr="00CB4C4D">
        <w:rPr>
          <w:b/>
          <w:bCs/>
          <w:shd w:val="clear" w:color="auto" w:fill="FFFFFF"/>
        </w:rPr>
        <w:t xml:space="preserve">. </w:t>
      </w:r>
      <w:r w:rsidR="00E24F80" w:rsidRPr="00CB4C4D">
        <w:rPr>
          <w:b/>
          <w:bCs/>
          <w:shd w:val="clear" w:color="auto" w:fill="FFFFFF"/>
        </w:rPr>
        <w:t>martam</w:t>
      </w:r>
      <w:r w:rsidRPr="00CB4C4D">
        <w:rPr>
          <w:b/>
          <w:bCs/>
        </w:rPr>
        <w:t xml:space="preserve"> plkst. 1</w:t>
      </w:r>
      <w:r w:rsidR="00651A33">
        <w:rPr>
          <w:b/>
          <w:bCs/>
        </w:rPr>
        <w:t>1</w:t>
      </w:r>
      <w:r w:rsidRPr="00CB4C4D">
        <w:rPr>
          <w:b/>
          <w:bCs/>
        </w:rPr>
        <w:t>.00.</w:t>
      </w:r>
      <w:r w:rsidRPr="00CB4C4D">
        <w:t xml:space="preserve"> </w:t>
      </w:r>
    </w:p>
    <w:p w14:paraId="7FC63851" w14:textId="77777777" w:rsidR="00860174" w:rsidRDefault="005148A7">
      <w:pPr>
        <w:tabs>
          <w:tab w:val="left" w:pos="540"/>
        </w:tabs>
        <w:jc w:val="both"/>
      </w:pPr>
      <w:r>
        <w:t>Piedāvājumi var tikt iesniegti:</w:t>
      </w:r>
    </w:p>
    <w:p w14:paraId="726B6572" w14:textId="77777777" w:rsidR="00860174" w:rsidRDefault="005148A7">
      <w:pPr>
        <w:numPr>
          <w:ilvl w:val="0"/>
          <w:numId w:val="2"/>
        </w:numPr>
        <w:jc w:val="both"/>
      </w:pPr>
      <w:r>
        <w:t xml:space="preserve">iesniedzot personīgi Limbažu novada pašvaldības Limbažu novada administrācijas Administratīvās nodaļas Limbažu klientu apkalpošanas centrā, </w:t>
      </w:r>
      <w:r>
        <w:rPr>
          <w:color w:val="000000"/>
        </w:rPr>
        <w:t>Rīgas ielā 16, Limbažos, Limbažu novadā</w:t>
      </w:r>
      <w:r>
        <w:t>;</w:t>
      </w:r>
    </w:p>
    <w:p w14:paraId="1D1FC785" w14:textId="77777777" w:rsidR="00860174" w:rsidRDefault="005148A7">
      <w:pPr>
        <w:numPr>
          <w:ilvl w:val="0"/>
          <w:numId w:val="2"/>
        </w:numPr>
        <w:jc w:val="both"/>
      </w:pPr>
      <w:r>
        <w:t xml:space="preserve">nosūtot pa pastu vai nogādājot ar kurjeru, adresējot Limbažu novada pašvaldībai, </w:t>
      </w:r>
      <w:r>
        <w:rPr>
          <w:color w:val="000000"/>
        </w:rPr>
        <w:t>Rīgas ielā 16, Limbažos, Limbažu novadā, LV-4001;</w:t>
      </w:r>
    </w:p>
    <w:p w14:paraId="6735EB97" w14:textId="7E152E22" w:rsidR="00860174" w:rsidRDefault="005148A7">
      <w:pPr>
        <w:numPr>
          <w:ilvl w:val="0"/>
          <w:numId w:val="2"/>
        </w:numPr>
        <w:jc w:val="both"/>
      </w:pPr>
      <w:r>
        <w:t>nosūtot ieskenētu pa e-pastu (</w:t>
      </w:r>
      <w:r w:rsidR="005A6F8E">
        <w:rPr>
          <w:rStyle w:val="Hipersaite"/>
        </w:rPr>
        <w:t>attistibas.nodala</w:t>
      </w:r>
      <w:hyperlink r:id="rId8">
        <w:r>
          <w:rPr>
            <w:rStyle w:val="Hipersaite"/>
            <w:lang w:eastAsia="en-US"/>
          </w:rPr>
          <w:t>@limbazunovads.lv</w:t>
        </w:r>
      </w:hyperlink>
      <w:r>
        <w:rPr>
          <w:lang w:eastAsia="en-US"/>
        </w:rPr>
        <w:t>);</w:t>
      </w:r>
    </w:p>
    <w:p w14:paraId="1A9BFB7D" w14:textId="7780F016" w:rsidR="00860174" w:rsidRDefault="005148A7">
      <w:pPr>
        <w:numPr>
          <w:ilvl w:val="0"/>
          <w:numId w:val="2"/>
        </w:numPr>
        <w:jc w:val="both"/>
      </w:pPr>
      <w:r>
        <w:rPr>
          <w:lang w:eastAsia="en-US"/>
        </w:rPr>
        <w:t>nosūtot elektroniski parakstītu uz e-pastu (</w:t>
      </w:r>
      <w:hyperlink r:id="rId9" w:history="1">
        <w:r w:rsidR="005A6F8E" w:rsidRPr="001A756B">
          <w:rPr>
            <w:rStyle w:val="Hipersaite"/>
            <w:lang w:eastAsia="en-US"/>
          </w:rPr>
          <w:t>attistibas.nodala@limbazunovads.lv</w:t>
        </w:r>
      </w:hyperlink>
      <w:r>
        <w:rPr>
          <w:lang w:eastAsia="en-US"/>
        </w:rPr>
        <w:t>)</w:t>
      </w:r>
    </w:p>
    <w:p w14:paraId="6D0BB902" w14:textId="77777777" w:rsidR="00860174" w:rsidRDefault="00860174">
      <w:pPr>
        <w:jc w:val="both"/>
      </w:pPr>
    </w:p>
    <w:p w14:paraId="75C57051" w14:textId="77777777" w:rsidR="00860174" w:rsidRDefault="00860174">
      <w:pPr>
        <w:jc w:val="both"/>
      </w:pPr>
    </w:p>
    <w:p w14:paraId="3272D787" w14:textId="77777777" w:rsidR="00860174" w:rsidRDefault="005148A7">
      <w:pPr>
        <w:jc w:val="both"/>
      </w:pPr>
      <w:r>
        <w:t xml:space="preserve">Piedāvājumi, kuri būs iesniegti pēc noteiktā termiņa, netiks </w:t>
      </w:r>
      <w:r>
        <w:rPr>
          <w:bCs/>
        </w:rPr>
        <w:t>izskatīti.</w:t>
      </w:r>
    </w:p>
    <w:p w14:paraId="7AC31282" w14:textId="77777777" w:rsidR="00860174" w:rsidRDefault="00860174">
      <w:pPr>
        <w:jc w:val="both"/>
      </w:pPr>
    </w:p>
    <w:p w14:paraId="28A9F579" w14:textId="398DFA7F" w:rsidR="00860174" w:rsidRDefault="005148A7">
      <w:pPr>
        <w:jc w:val="both"/>
      </w:pPr>
      <w:r>
        <w:t xml:space="preserve">Pielikumā: </w:t>
      </w:r>
      <w:r>
        <w:tab/>
      </w:r>
    </w:p>
    <w:p w14:paraId="3BD6AB46" w14:textId="071DED0F" w:rsidR="00860174" w:rsidRDefault="000D3281" w:rsidP="000D3281">
      <w:pPr>
        <w:pStyle w:val="Sarakstarindkopa"/>
        <w:numPr>
          <w:ilvl w:val="3"/>
          <w:numId w:val="5"/>
        </w:numPr>
        <w:ind w:left="1276" w:hanging="283"/>
        <w:jc w:val="both"/>
      </w:pPr>
      <w:r>
        <w:t>Kadastrālās uzmērīšanas lieta;</w:t>
      </w:r>
    </w:p>
    <w:p w14:paraId="221C16CB" w14:textId="3187FD08" w:rsidR="000D3281" w:rsidRDefault="000D3281" w:rsidP="000D3281">
      <w:pPr>
        <w:pStyle w:val="Sarakstarindkopa"/>
        <w:numPr>
          <w:ilvl w:val="3"/>
          <w:numId w:val="5"/>
        </w:numPr>
        <w:ind w:left="1276" w:hanging="283"/>
        <w:jc w:val="both"/>
      </w:pPr>
      <w:r>
        <w:t>Tehniskās apsekošanas akts;</w:t>
      </w:r>
    </w:p>
    <w:p w14:paraId="4902EBA1" w14:textId="692A9998" w:rsidR="000D3281" w:rsidRDefault="000D3281" w:rsidP="000D3281">
      <w:pPr>
        <w:pStyle w:val="Sarakstarindkopa"/>
        <w:numPr>
          <w:ilvl w:val="3"/>
          <w:numId w:val="5"/>
        </w:numPr>
        <w:ind w:left="1276" w:hanging="283"/>
        <w:jc w:val="both"/>
      </w:pPr>
      <w:r w:rsidRPr="000D3281">
        <w:t xml:space="preserve">Enerģijas patēriņš </w:t>
      </w:r>
      <w:r>
        <w:t xml:space="preserve">V. Sārmes iela 1, Limbažos. </w:t>
      </w:r>
    </w:p>
    <w:p w14:paraId="35755F57" w14:textId="77777777" w:rsidR="00860174" w:rsidRDefault="00860174">
      <w:pPr>
        <w:jc w:val="both"/>
      </w:pPr>
    </w:p>
    <w:p w14:paraId="72D76E4F" w14:textId="77777777" w:rsidR="00860174" w:rsidRDefault="005148A7">
      <w:pPr>
        <w:jc w:val="both"/>
      </w:pPr>
      <w:r>
        <w:t>Pretendentam iesniedzamie dokumenti:</w:t>
      </w:r>
    </w:p>
    <w:p w14:paraId="7EB110FC" w14:textId="77777777" w:rsidR="00860174" w:rsidRDefault="005148A7">
      <w:pPr>
        <w:pStyle w:val="Sarakstarindkopa"/>
        <w:numPr>
          <w:ilvl w:val="0"/>
          <w:numId w:val="3"/>
        </w:numPr>
        <w:jc w:val="both"/>
      </w:pPr>
      <w:r>
        <w:t>Piedāvājuma veidlapa.</w:t>
      </w:r>
    </w:p>
    <w:p w14:paraId="69E58F8D" w14:textId="77777777" w:rsidR="00860174" w:rsidRDefault="00860174">
      <w:pPr>
        <w:ind w:left="360"/>
        <w:jc w:val="both"/>
      </w:pPr>
    </w:p>
    <w:p w14:paraId="26C105BE" w14:textId="77777777" w:rsidR="00860174" w:rsidRDefault="005148A7">
      <w:pPr>
        <w:rPr>
          <w:sz w:val="26"/>
          <w:szCs w:val="26"/>
        </w:rPr>
      </w:pPr>
      <w:r>
        <w:br w:type="page"/>
      </w:r>
    </w:p>
    <w:p w14:paraId="5606049E" w14:textId="7C45DF71" w:rsidR="00860174" w:rsidRDefault="005148A7">
      <w:pPr>
        <w:pStyle w:val="naisnod"/>
        <w:ind w:left="360"/>
        <w:jc w:val="right"/>
      </w:pPr>
      <w:bookmarkStart w:id="2" w:name="_Hlk108788940"/>
      <w:bookmarkEnd w:id="2"/>
      <w:r>
        <w:lastRenderedPageBreak/>
        <w:t xml:space="preserve">Cenu aptaujas </w:t>
      </w:r>
      <w:bookmarkStart w:id="3" w:name="_Hlk117093568"/>
      <w:r>
        <w:t>“</w:t>
      </w:r>
      <w:r w:rsidR="00432870" w:rsidRPr="00432870">
        <w:rPr>
          <w:i/>
          <w:iCs/>
        </w:rPr>
        <w:t>Ēkas V. Sārmes ielā 10, Limbažos energosertifikāta aktualizācija</w:t>
      </w:r>
      <w:r>
        <w:t xml:space="preserve">” </w:t>
      </w:r>
      <w:bookmarkEnd w:id="3"/>
    </w:p>
    <w:p w14:paraId="3FEBFCE3" w14:textId="77777777" w:rsidR="00860174" w:rsidRDefault="00860174">
      <w:pPr>
        <w:pStyle w:val="naisnod"/>
        <w:spacing w:before="120" w:after="120"/>
        <w:jc w:val="left"/>
        <w:rPr>
          <w:sz w:val="26"/>
          <w:szCs w:val="26"/>
        </w:rPr>
      </w:pPr>
    </w:p>
    <w:p w14:paraId="5B5161FC" w14:textId="77777777" w:rsidR="00860174" w:rsidRDefault="005148A7">
      <w:pPr>
        <w:pStyle w:val="naisnod"/>
        <w:spacing w:before="120" w:after="120"/>
        <w:rPr>
          <w:sz w:val="26"/>
          <w:szCs w:val="26"/>
        </w:rPr>
      </w:pPr>
      <w:r>
        <w:rPr>
          <w:sz w:val="26"/>
          <w:szCs w:val="26"/>
        </w:rPr>
        <w:t>TEHNISKĀ SPECIFIKĀCIJA</w:t>
      </w:r>
    </w:p>
    <w:p w14:paraId="27725683" w14:textId="77777777" w:rsidR="003C6D5D" w:rsidRPr="005E7B53" w:rsidRDefault="003C6D5D" w:rsidP="003C6D5D">
      <w:pPr>
        <w:suppressAutoHyphens w:val="0"/>
        <w:ind w:firstLine="567"/>
        <w:jc w:val="both"/>
      </w:pPr>
      <w:r w:rsidRPr="005E7B53">
        <w:t>Iepirkuma līguma mērķis ir Pasūtītāja dalība Centrālās finanšu un līgumu aģentūras izsludinātajā projektu iesniegumu atlasē 1.2.1.3.i investīcijā “Pašvaldību ēku un infrastruktūras uzlabošana, veicinot pāreju uz atjaunojamo energoresursu tehnoloģiju izmantošanu un uzlabojot energoefektivitāti” (turpmāk – projektu atlase).</w:t>
      </w:r>
    </w:p>
    <w:p w14:paraId="5C28F25D" w14:textId="77777777" w:rsidR="00860174" w:rsidRDefault="00860174">
      <w:pPr>
        <w:contextualSpacing/>
        <w:jc w:val="both"/>
        <w:rPr>
          <w:color w:val="000000" w:themeColor="text1"/>
          <w:shd w:val="clear" w:color="auto" w:fill="FFFFFF"/>
        </w:rPr>
      </w:pPr>
    </w:p>
    <w:tbl>
      <w:tblPr>
        <w:tblStyle w:val="TableGrid"/>
        <w:tblW w:w="10856" w:type="dxa"/>
        <w:tblInd w:w="-712" w:type="dxa"/>
        <w:tblCellMar>
          <w:top w:w="5" w:type="dxa"/>
          <w:left w:w="108" w:type="dxa"/>
          <w:right w:w="94" w:type="dxa"/>
        </w:tblCellMar>
        <w:tblLook w:val="04A0" w:firstRow="1" w:lastRow="0" w:firstColumn="1" w:lastColumn="0" w:noHBand="0" w:noVBand="1"/>
      </w:tblPr>
      <w:tblGrid>
        <w:gridCol w:w="567"/>
        <w:gridCol w:w="1682"/>
        <w:gridCol w:w="2516"/>
        <w:gridCol w:w="1241"/>
        <w:gridCol w:w="1543"/>
        <w:gridCol w:w="2378"/>
        <w:gridCol w:w="929"/>
      </w:tblGrid>
      <w:tr w:rsidR="000C5A21" w:rsidRPr="000C5A21" w14:paraId="5B263D0C" w14:textId="51AD213D" w:rsidTr="005E7B53">
        <w:trPr>
          <w:trHeight w:val="334"/>
        </w:trPr>
        <w:tc>
          <w:tcPr>
            <w:tcW w:w="567" w:type="dxa"/>
            <w:tcBorders>
              <w:top w:val="single" w:sz="2" w:space="0" w:color="000000"/>
              <w:left w:val="single" w:sz="2" w:space="0" w:color="000000"/>
              <w:bottom w:val="single" w:sz="2" w:space="0" w:color="000000"/>
              <w:right w:val="single" w:sz="2" w:space="0" w:color="000000"/>
            </w:tcBorders>
          </w:tcPr>
          <w:p w14:paraId="12FB3340" w14:textId="77777777" w:rsidR="000C5A21" w:rsidRPr="001F2081" w:rsidRDefault="000C5A21" w:rsidP="001F2081">
            <w:pPr>
              <w:spacing w:line="259" w:lineRule="auto"/>
              <w:ind w:left="48"/>
              <w:rPr>
                <w:color w:val="000000"/>
                <w:sz w:val="20"/>
                <w:szCs w:val="20"/>
              </w:rPr>
            </w:pPr>
            <w:bookmarkStart w:id="4" w:name="_Hlk1087889401"/>
            <w:bookmarkEnd w:id="4"/>
            <w:r w:rsidRPr="001F2081">
              <w:rPr>
                <w:b/>
                <w:color w:val="000000"/>
                <w:sz w:val="20"/>
                <w:szCs w:val="20"/>
              </w:rPr>
              <w:t xml:space="preserve">Nr. </w:t>
            </w:r>
          </w:p>
          <w:p w14:paraId="49E9DE2A" w14:textId="77777777" w:rsidR="000C5A21" w:rsidRPr="001F2081" w:rsidRDefault="000C5A21" w:rsidP="001F2081">
            <w:pPr>
              <w:spacing w:line="259" w:lineRule="auto"/>
              <w:ind w:left="29"/>
              <w:rPr>
                <w:color w:val="000000"/>
                <w:sz w:val="20"/>
                <w:szCs w:val="20"/>
              </w:rPr>
            </w:pPr>
            <w:r w:rsidRPr="001F2081">
              <w:rPr>
                <w:b/>
                <w:color w:val="000000"/>
                <w:sz w:val="20"/>
                <w:szCs w:val="20"/>
              </w:rPr>
              <w:t xml:space="preserve">p.k. </w:t>
            </w:r>
          </w:p>
        </w:tc>
        <w:tc>
          <w:tcPr>
            <w:tcW w:w="1682" w:type="dxa"/>
            <w:tcBorders>
              <w:top w:val="single" w:sz="2" w:space="0" w:color="000000"/>
              <w:left w:val="single" w:sz="2" w:space="0" w:color="000000"/>
              <w:bottom w:val="single" w:sz="4" w:space="0" w:color="000000"/>
              <w:right w:val="single" w:sz="2" w:space="0" w:color="000000"/>
            </w:tcBorders>
            <w:vAlign w:val="center"/>
          </w:tcPr>
          <w:p w14:paraId="7D09C393" w14:textId="77777777" w:rsidR="000C5A21" w:rsidRDefault="000C5A21" w:rsidP="000C5A21">
            <w:pPr>
              <w:spacing w:line="259" w:lineRule="auto"/>
              <w:ind w:right="20"/>
              <w:jc w:val="center"/>
              <w:rPr>
                <w:b/>
                <w:color w:val="000000"/>
                <w:sz w:val="20"/>
                <w:szCs w:val="20"/>
              </w:rPr>
            </w:pPr>
          </w:p>
          <w:p w14:paraId="2BFCC8C7" w14:textId="517E8038" w:rsidR="000C5A21" w:rsidRPr="001F2081" w:rsidRDefault="000C5A21" w:rsidP="000C5A21">
            <w:pPr>
              <w:spacing w:line="259" w:lineRule="auto"/>
              <w:ind w:right="20"/>
              <w:jc w:val="center"/>
              <w:rPr>
                <w:color w:val="000000"/>
                <w:sz w:val="20"/>
                <w:szCs w:val="20"/>
              </w:rPr>
            </w:pPr>
            <w:r w:rsidRPr="001F2081">
              <w:rPr>
                <w:b/>
                <w:color w:val="000000"/>
                <w:sz w:val="20"/>
                <w:szCs w:val="20"/>
              </w:rPr>
              <w:t>Ēkas nosaukums</w:t>
            </w:r>
          </w:p>
        </w:tc>
        <w:tc>
          <w:tcPr>
            <w:tcW w:w="2516" w:type="dxa"/>
            <w:tcBorders>
              <w:top w:val="single" w:sz="2" w:space="0" w:color="000000"/>
              <w:left w:val="single" w:sz="2" w:space="0" w:color="000000"/>
              <w:bottom w:val="single" w:sz="4" w:space="0" w:color="000000"/>
              <w:right w:val="single" w:sz="2" w:space="0" w:color="000000"/>
            </w:tcBorders>
            <w:vAlign w:val="center"/>
          </w:tcPr>
          <w:p w14:paraId="424E50CC" w14:textId="77777777" w:rsidR="000C5A21" w:rsidRDefault="000C5A21" w:rsidP="000C5A21">
            <w:pPr>
              <w:spacing w:line="259" w:lineRule="auto"/>
              <w:ind w:left="65"/>
              <w:jc w:val="center"/>
              <w:rPr>
                <w:b/>
                <w:color w:val="000000"/>
                <w:sz w:val="20"/>
                <w:szCs w:val="20"/>
              </w:rPr>
            </w:pPr>
          </w:p>
          <w:p w14:paraId="1BAF33C4" w14:textId="2A8B85E5" w:rsidR="000C5A21" w:rsidRPr="001F2081" w:rsidRDefault="000C5A21" w:rsidP="000C5A21">
            <w:pPr>
              <w:spacing w:line="259" w:lineRule="auto"/>
              <w:ind w:left="65"/>
              <w:jc w:val="center"/>
              <w:rPr>
                <w:color w:val="000000"/>
                <w:sz w:val="20"/>
                <w:szCs w:val="20"/>
              </w:rPr>
            </w:pPr>
            <w:r w:rsidRPr="001F2081">
              <w:rPr>
                <w:b/>
                <w:color w:val="000000"/>
                <w:sz w:val="20"/>
                <w:szCs w:val="20"/>
              </w:rPr>
              <w:t>Adrese</w:t>
            </w:r>
          </w:p>
        </w:tc>
        <w:tc>
          <w:tcPr>
            <w:tcW w:w="1241" w:type="dxa"/>
            <w:tcBorders>
              <w:top w:val="single" w:sz="2" w:space="0" w:color="000000"/>
              <w:left w:val="single" w:sz="2" w:space="0" w:color="000000"/>
              <w:bottom w:val="single" w:sz="4" w:space="0" w:color="000000"/>
              <w:right w:val="single" w:sz="2" w:space="0" w:color="000000"/>
            </w:tcBorders>
          </w:tcPr>
          <w:p w14:paraId="2B61A5E5" w14:textId="002278C8" w:rsidR="000C5A21" w:rsidRPr="001F2081" w:rsidRDefault="000C5A21" w:rsidP="000C5A21">
            <w:pPr>
              <w:spacing w:line="259" w:lineRule="auto"/>
              <w:ind w:left="1039"/>
              <w:jc w:val="center"/>
              <w:rPr>
                <w:color w:val="000000"/>
                <w:sz w:val="20"/>
                <w:szCs w:val="20"/>
              </w:rPr>
            </w:pPr>
          </w:p>
          <w:p w14:paraId="5C2604CD" w14:textId="623EBAFE" w:rsidR="000C5A21" w:rsidRPr="001F2081" w:rsidRDefault="000C5A21" w:rsidP="000C5A21">
            <w:pPr>
              <w:spacing w:line="259" w:lineRule="auto"/>
              <w:ind w:right="77"/>
              <w:jc w:val="center"/>
              <w:rPr>
                <w:color w:val="000000"/>
                <w:sz w:val="20"/>
                <w:szCs w:val="20"/>
              </w:rPr>
            </w:pPr>
            <w:r w:rsidRPr="001F2081">
              <w:rPr>
                <w:b/>
                <w:color w:val="000000"/>
                <w:sz w:val="20"/>
                <w:szCs w:val="20"/>
              </w:rPr>
              <w:t>Platība, m</w:t>
            </w:r>
            <w:r w:rsidRPr="000C5A21">
              <w:rPr>
                <w:b/>
                <w:color w:val="000000"/>
                <w:sz w:val="20"/>
                <w:szCs w:val="20"/>
                <w:vertAlign w:val="superscript"/>
              </w:rPr>
              <w:t>2</w:t>
            </w:r>
          </w:p>
        </w:tc>
        <w:tc>
          <w:tcPr>
            <w:tcW w:w="1543" w:type="dxa"/>
            <w:tcBorders>
              <w:top w:val="single" w:sz="2" w:space="0" w:color="000000"/>
              <w:left w:val="single" w:sz="2" w:space="0" w:color="000000"/>
              <w:bottom w:val="single" w:sz="4" w:space="0" w:color="000000"/>
              <w:right w:val="single" w:sz="2" w:space="0" w:color="000000"/>
            </w:tcBorders>
          </w:tcPr>
          <w:p w14:paraId="173AF807" w14:textId="77777777" w:rsidR="000C5A21" w:rsidRDefault="000C5A21" w:rsidP="000C5A21">
            <w:pPr>
              <w:spacing w:line="259" w:lineRule="auto"/>
              <w:ind w:left="82"/>
              <w:jc w:val="center"/>
              <w:rPr>
                <w:b/>
                <w:bCs/>
                <w:color w:val="000000"/>
                <w:kern w:val="2"/>
                <w:sz w:val="20"/>
                <w:szCs w:val="20"/>
                <w:lang w:eastAsia="zh-CN"/>
              </w:rPr>
            </w:pPr>
          </w:p>
          <w:p w14:paraId="71B0B71A" w14:textId="2758DDA0" w:rsidR="000C5A21" w:rsidRPr="000C5A21" w:rsidRDefault="000C5A21" w:rsidP="000C5A21">
            <w:pPr>
              <w:spacing w:line="259" w:lineRule="auto"/>
              <w:ind w:left="82"/>
              <w:jc w:val="center"/>
              <w:rPr>
                <w:b/>
                <w:bCs/>
                <w:color w:val="000000"/>
                <w:sz w:val="20"/>
                <w:szCs w:val="20"/>
              </w:rPr>
            </w:pPr>
            <w:r w:rsidRPr="000C5A21">
              <w:rPr>
                <w:b/>
                <w:bCs/>
                <w:color w:val="000000"/>
                <w:kern w:val="2"/>
                <w:sz w:val="20"/>
                <w:szCs w:val="20"/>
                <w:lang w:eastAsia="zh-CN"/>
              </w:rPr>
              <w:t>Ēkas veids</w:t>
            </w:r>
          </w:p>
        </w:tc>
        <w:tc>
          <w:tcPr>
            <w:tcW w:w="2378" w:type="dxa"/>
            <w:tcBorders>
              <w:top w:val="single" w:sz="2" w:space="0" w:color="000000"/>
              <w:left w:val="single" w:sz="2" w:space="0" w:color="000000"/>
              <w:bottom w:val="single" w:sz="4" w:space="0" w:color="000000"/>
              <w:right w:val="single" w:sz="2" w:space="0" w:color="000000"/>
            </w:tcBorders>
            <w:vAlign w:val="center"/>
          </w:tcPr>
          <w:p w14:paraId="07C25B0F" w14:textId="77777777" w:rsidR="000C5A21" w:rsidRDefault="000C5A21" w:rsidP="000C5A21">
            <w:pPr>
              <w:spacing w:line="259" w:lineRule="auto"/>
              <w:ind w:left="82"/>
              <w:jc w:val="center"/>
              <w:rPr>
                <w:b/>
                <w:color w:val="000000"/>
                <w:sz w:val="20"/>
                <w:szCs w:val="20"/>
              </w:rPr>
            </w:pPr>
          </w:p>
          <w:p w14:paraId="399318AB" w14:textId="7AA0D96E" w:rsidR="000C5A21" w:rsidRPr="001F2081" w:rsidRDefault="000C5A21" w:rsidP="000C5A21">
            <w:pPr>
              <w:spacing w:line="259" w:lineRule="auto"/>
              <w:ind w:left="82"/>
              <w:jc w:val="center"/>
              <w:rPr>
                <w:color w:val="000000"/>
                <w:sz w:val="20"/>
                <w:szCs w:val="20"/>
              </w:rPr>
            </w:pPr>
            <w:r w:rsidRPr="001F2081">
              <w:rPr>
                <w:b/>
                <w:color w:val="000000"/>
                <w:sz w:val="20"/>
                <w:szCs w:val="20"/>
              </w:rPr>
              <w:t>Kadastra numurs</w:t>
            </w:r>
          </w:p>
        </w:tc>
        <w:tc>
          <w:tcPr>
            <w:tcW w:w="929" w:type="dxa"/>
            <w:tcBorders>
              <w:top w:val="single" w:sz="2" w:space="0" w:color="000000"/>
              <w:left w:val="single" w:sz="2" w:space="0" w:color="000000"/>
              <w:bottom w:val="single" w:sz="4" w:space="0" w:color="000000"/>
              <w:right w:val="single" w:sz="2" w:space="0" w:color="000000"/>
            </w:tcBorders>
          </w:tcPr>
          <w:p w14:paraId="1FF9C24A" w14:textId="77777777" w:rsidR="000C5A21" w:rsidRDefault="000C5A21" w:rsidP="000C5A21">
            <w:pPr>
              <w:spacing w:line="259" w:lineRule="auto"/>
              <w:ind w:left="82"/>
              <w:jc w:val="center"/>
              <w:rPr>
                <w:b/>
                <w:color w:val="000000"/>
                <w:sz w:val="20"/>
                <w:szCs w:val="20"/>
              </w:rPr>
            </w:pPr>
          </w:p>
          <w:p w14:paraId="7C33DF1C" w14:textId="462BF8EF" w:rsidR="000C5A21" w:rsidRPr="000C5A21" w:rsidRDefault="000C5A21" w:rsidP="000C5A21">
            <w:pPr>
              <w:spacing w:line="259" w:lineRule="auto"/>
              <w:ind w:left="82"/>
              <w:rPr>
                <w:b/>
                <w:color w:val="000000"/>
                <w:sz w:val="20"/>
                <w:szCs w:val="20"/>
              </w:rPr>
            </w:pPr>
            <w:r w:rsidRPr="000C5A21">
              <w:rPr>
                <w:b/>
                <w:color w:val="000000"/>
                <w:sz w:val="20"/>
                <w:szCs w:val="20"/>
              </w:rPr>
              <w:t>Stāvi</w:t>
            </w:r>
          </w:p>
        </w:tc>
      </w:tr>
      <w:tr w:rsidR="000C5A21" w:rsidRPr="000C5A21" w14:paraId="3FF2E021" w14:textId="463DE9DB" w:rsidTr="005E7B53">
        <w:trPr>
          <w:trHeight w:val="651"/>
        </w:trPr>
        <w:tc>
          <w:tcPr>
            <w:tcW w:w="567" w:type="dxa"/>
            <w:tcBorders>
              <w:top w:val="single" w:sz="2" w:space="0" w:color="000000"/>
              <w:left w:val="single" w:sz="2" w:space="0" w:color="000000"/>
              <w:bottom w:val="single" w:sz="2" w:space="0" w:color="000000"/>
              <w:right w:val="single" w:sz="2" w:space="0" w:color="000000"/>
            </w:tcBorders>
            <w:vAlign w:val="center"/>
          </w:tcPr>
          <w:p w14:paraId="6500E8E6" w14:textId="6DBFE5AC" w:rsidR="000C5A21" w:rsidRPr="001F2081" w:rsidRDefault="000C5A21" w:rsidP="001F2081">
            <w:pPr>
              <w:spacing w:line="259" w:lineRule="auto"/>
              <w:ind w:right="22"/>
              <w:jc w:val="center"/>
              <w:rPr>
                <w:color w:val="000000"/>
                <w:sz w:val="20"/>
                <w:szCs w:val="20"/>
              </w:rPr>
            </w:pPr>
            <w:r w:rsidRPr="001F2081">
              <w:rPr>
                <w:color w:val="000000"/>
                <w:sz w:val="20"/>
                <w:szCs w:val="20"/>
              </w:rPr>
              <w:t>1</w:t>
            </w:r>
            <w:r w:rsidR="0007476D">
              <w:rPr>
                <w:color w:val="000000"/>
                <w:sz w:val="20"/>
                <w:szCs w:val="20"/>
              </w:rPr>
              <w:t>.</w:t>
            </w:r>
            <w:r w:rsidRPr="001F2081">
              <w:rPr>
                <w:color w:val="000000"/>
                <w:sz w:val="20"/>
                <w:szCs w:val="20"/>
              </w:rPr>
              <w:t xml:space="preserve"> </w:t>
            </w:r>
          </w:p>
        </w:tc>
        <w:tc>
          <w:tcPr>
            <w:tcW w:w="1682" w:type="dxa"/>
            <w:tcBorders>
              <w:top w:val="single" w:sz="4" w:space="0" w:color="000000"/>
              <w:left w:val="single" w:sz="2" w:space="0" w:color="000000"/>
              <w:bottom w:val="single" w:sz="2" w:space="0" w:color="000000"/>
              <w:right w:val="single" w:sz="2" w:space="0" w:color="000000"/>
            </w:tcBorders>
          </w:tcPr>
          <w:p w14:paraId="69F8BCE8" w14:textId="77777777" w:rsidR="00837BA3" w:rsidRDefault="00837BA3" w:rsidP="00837BA3">
            <w:pPr>
              <w:spacing w:line="259" w:lineRule="auto"/>
              <w:jc w:val="center"/>
              <w:rPr>
                <w:color w:val="000000"/>
                <w:sz w:val="20"/>
                <w:szCs w:val="20"/>
              </w:rPr>
            </w:pPr>
          </w:p>
          <w:p w14:paraId="6EF39CD6" w14:textId="2B5EABFC" w:rsidR="000C5A21" w:rsidRPr="001F2081" w:rsidRDefault="000C5A21" w:rsidP="00837BA3">
            <w:pPr>
              <w:spacing w:line="259" w:lineRule="auto"/>
              <w:jc w:val="center"/>
              <w:rPr>
                <w:color w:val="000000"/>
                <w:sz w:val="20"/>
                <w:szCs w:val="20"/>
              </w:rPr>
            </w:pPr>
            <w:r w:rsidRPr="000C5A21">
              <w:rPr>
                <w:color w:val="000000"/>
                <w:sz w:val="20"/>
                <w:szCs w:val="20"/>
              </w:rPr>
              <w:t>V. Sārmes iela 10</w:t>
            </w:r>
          </w:p>
        </w:tc>
        <w:tc>
          <w:tcPr>
            <w:tcW w:w="2516" w:type="dxa"/>
            <w:tcBorders>
              <w:top w:val="single" w:sz="4" w:space="0" w:color="000000"/>
              <w:left w:val="single" w:sz="2" w:space="0" w:color="000000"/>
              <w:bottom w:val="single" w:sz="2" w:space="0" w:color="000000"/>
              <w:right w:val="single" w:sz="2" w:space="0" w:color="000000"/>
            </w:tcBorders>
          </w:tcPr>
          <w:p w14:paraId="2DFF72D7" w14:textId="77777777" w:rsidR="00837BA3" w:rsidRDefault="00837BA3" w:rsidP="00837BA3">
            <w:pPr>
              <w:spacing w:line="259" w:lineRule="auto"/>
              <w:jc w:val="center"/>
              <w:rPr>
                <w:color w:val="000000"/>
                <w:sz w:val="20"/>
                <w:szCs w:val="20"/>
              </w:rPr>
            </w:pPr>
          </w:p>
          <w:p w14:paraId="12D4C36B" w14:textId="067412BC" w:rsidR="000C5A21" w:rsidRPr="001F2081" w:rsidRDefault="000C5A21" w:rsidP="00837BA3">
            <w:pPr>
              <w:spacing w:line="259" w:lineRule="auto"/>
              <w:jc w:val="center"/>
              <w:rPr>
                <w:color w:val="000000"/>
                <w:sz w:val="20"/>
                <w:szCs w:val="20"/>
              </w:rPr>
            </w:pPr>
            <w:r w:rsidRPr="000C5A21">
              <w:rPr>
                <w:color w:val="000000"/>
                <w:sz w:val="20"/>
                <w:szCs w:val="20"/>
              </w:rPr>
              <w:t>V. Sārmes iela 10, Limbažos</w:t>
            </w:r>
          </w:p>
        </w:tc>
        <w:tc>
          <w:tcPr>
            <w:tcW w:w="1241" w:type="dxa"/>
            <w:tcBorders>
              <w:top w:val="single" w:sz="4" w:space="0" w:color="000000"/>
              <w:left w:val="single" w:sz="2" w:space="0" w:color="000000"/>
              <w:bottom w:val="single" w:sz="2" w:space="0" w:color="000000"/>
              <w:right w:val="single" w:sz="2" w:space="0" w:color="000000"/>
            </w:tcBorders>
            <w:vAlign w:val="center"/>
          </w:tcPr>
          <w:p w14:paraId="07599526" w14:textId="51263B97" w:rsidR="000C5A21" w:rsidRPr="001F2081" w:rsidRDefault="000C5A21" w:rsidP="00837BA3">
            <w:pPr>
              <w:spacing w:line="259" w:lineRule="auto"/>
              <w:ind w:right="13"/>
              <w:jc w:val="center"/>
              <w:rPr>
                <w:color w:val="000000"/>
                <w:sz w:val="20"/>
                <w:szCs w:val="20"/>
              </w:rPr>
            </w:pPr>
            <w:r w:rsidRPr="000C5A21">
              <w:rPr>
                <w:color w:val="000000"/>
                <w:kern w:val="2"/>
                <w:sz w:val="20"/>
                <w:szCs w:val="20"/>
                <w:lang w:eastAsia="zh-CN"/>
              </w:rPr>
              <w:t>688,80</w:t>
            </w:r>
          </w:p>
        </w:tc>
        <w:tc>
          <w:tcPr>
            <w:tcW w:w="1543" w:type="dxa"/>
            <w:tcBorders>
              <w:top w:val="single" w:sz="4" w:space="0" w:color="000000"/>
              <w:left w:val="single" w:sz="2" w:space="0" w:color="000000"/>
              <w:bottom w:val="single" w:sz="2" w:space="0" w:color="000000"/>
              <w:right w:val="single" w:sz="2" w:space="0" w:color="000000"/>
            </w:tcBorders>
          </w:tcPr>
          <w:p w14:paraId="350D9E78" w14:textId="029D4890" w:rsidR="000C5A21" w:rsidRPr="000C5A21" w:rsidRDefault="000C5A21" w:rsidP="00837BA3">
            <w:pPr>
              <w:spacing w:line="259" w:lineRule="auto"/>
              <w:ind w:right="17"/>
              <w:jc w:val="center"/>
              <w:rPr>
                <w:rFonts w:eastAsia="Calibri"/>
                <w:sz w:val="20"/>
                <w:szCs w:val="20"/>
              </w:rPr>
            </w:pPr>
            <w:r w:rsidRPr="000C5A21">
              <w:rPr>
                <w:color w:val="000000"/>
                <w:kern w:val="2"/>
                <w:sz w:val="20"/>
                <w:szCs w:val="20"/>
                <w:lang w:eastAsia="zh-CN"/>
              </w:rPr>
              <w:t>Biroju ēka, kods 1220, II grupa</w:t>
            </w:r>
          </w:p>
        </w:tc>
        <w:tc>
          <w:tcPr>
            <w:tcW w:w="2378" w:type="dxa"/>
            <w:tcBorders>
              <w:top w:val="single" w:sz="4" w:space="0" w:color="000000"/>
              <w:left w:val="single" w:sz="2" w:space="0" w:color="000000"/>
              <w:bottom w:val="single" w:sz="2" w:space="0" w:color="000000"/>
              <w:right w:val="single" w:sz="2" w:space="0" w:color="000000"/>
            </w:tcBorders>
            <w:vAlign w:val="center"/>
          </w:tcPr>
          <w:p w14:paraId="12BB8BE7" w14:textId="236D5975" w:rsidR="000C5A21" w:rsidRPr="001F2081" w:rsidRDefault="000C5A21" w:rsidP="00837BA3">
            <w:pPr>
              <w:spacing w:line="259" w:lineRule="auto"/>
              <w:ind w:right="17"/>
              <w:jc w:val="center"/>
              <w:rPr>
                <w:color w:val="000000"/>
                <w:sz w:val="20"/>
                <w:szCs w:val="20"/>
              </w:rPr>
            </w:pPr>
            <w:bookmarkStart w:id="5" w:name="_Hlk129856290"/>
            <w:r w:rsidRPr="000C5A21">
              <w:rPr>
                <w:rFonts w:eastAsia="Calibri"/>
                <w:sz w:val="20"/>
                <w:szCs w:val="20"/>
              </w:rPr>
              <w:t>6601 003 0001 005</w:t>
            </w:r>
            <w:bookmarkEnd w:id="5"/>
          </w:p>
        </w:tc>
        <w:tc>
          <w:tcPr>
            <w:tcW w:w="929" w:type="dxa"/>
            <w:tcBorders>
              <w:top w:val="single" w:sz="4" w:space="0" w:color="000000"/>
              <w:left w:val="single" w:sz="2" w:space="0" w:color="000000"/>
              <w:bottom w:val="single" w:sz="2" w:space="0" w:color="000000"/>
              <w:right w:val="single" w:sz="2" w:space="0" w:color="000000"/>
            </w:tcBorders>
          </w:tcPr>
          <w:p w14:paraId="6C77D41A" w14:textId="77777777" w:rsidR="00837BA3" w:rsidRDefault="00837BA3" w:rsidP="00837BA3">
            <w:pPr>
              <w:spacing w:line="259" w:lineRule="auto"/>
              <w:ind w:right="17"/>
              <w:jc w:val="center"/>
              <w:rPr>
                <w:rFonts w:eastAsia="Calibri"/>
                <w:sz w:val="20"/>
                <w:szCs w:val="20"/>
              </w:rPr>
            </w:pPr>
          </w:p>
          <w:p w14:paraId="307F45E6" w14:textId="3BE572F4" w:rsidR="000C5A21" w:rsidRPr="000C5A21" w:rsidRDefault="000C5A21" w:rsidP="00837BA3">
            <w:pPr>
              <w:spacing w:line="259" w:lineRule="auto"/>
              <w:ind w:right="17"/>
              <w:jc w:val="center"/>
              <w:rPr>
                <w:rFonts w:eastAsia="Calibri"/>
                <w:sz w:val="20"/>
                <w:szCs w:val="20"/>
              </w:rPr>
            </w:pPr>
            <w:r w:rsidRPr="000C5A21">
              <w:rPr>
                <w:rFonts w:eastAsia="Calibri"/>
                <w:sz w:val="20"/>
                <w:szCs w:val="20"/>
              </w:rPr>
              <w:t>2</w:t>
            </w:r>
          </w:p>
        </w:tc>
      </w:tr>
    </w:tbl>
    <w:p w14:paraId="6F1D732D" w14:textId="77777777" w:rsidR="005E7B53" w:rsidRPr="005E7B53" w:rsidRDefault="005E7B53" w:rsidP="005E7B53">
      <w:pPr>
        <w:suppressAutoHyphens w:val="0"/>
        <w:ind w:left="709" w:firstLine="11"/>
        <w:jc w:val="both"/>
        <w:rPr>
          <w:rFonts w:ascii="Swiss TL" w:hAnsi="Swiss TL"/>
        </w:rPr>
      </w:pPr>
    </w:p>
    <w:p w14:paraId="57D8712B" w14:textId="593758C4" w:rsidR="005E7B53" w:rsidRPr="005E7B53" w:rsidRDefault="005E7B53" w:rsidP="005E7B53">
      <w:pPr>
        <w:numPr>
          <w:ilvl w:val="0"/>
          <w:numId w:val="11"/>
        </w:numPr>
        <w:suppressAutoHyphens w:val="0"/>
        <w:autoSpaceDE w:val="0"/>
        <w:autoSpaceDN w:val="0"/>
        <w:adjustRightInd w:val="0"/>
        <w:contextualSpacing/>
        <w:jc w:val="both"/>
      </w:pPr>
      <w:r w:rsidRPr="005E7B53">
        <w:t xml:space="preserve">Izpildītājs veic ēkas </w:t>
      </w:r>
      <w:r>
        <w:t>V. S</w:t>
      </w:r>
      <w:r w:rsidR="003C6D5D">
        <w:t>ā</w:t>
      </w:r>
      <w:r>
        <w:t>rmes ielā 10,</w:t>
      </w:r>
      <w:r w:rsidR="003C6D5D">
        <w:t xml:space="preserve"> Limbažos, Limbažu novadā</w:t>
      </w:r>
      <w:r w:rsidRPr="005E7B53">
        <w:t xml:space="preserve">, ar kadastra apzīmējumu </w:t>
      </w:r>
      <w:r w:rsidR="003C6D5D" w:rsidRPr="003C6D5D">
        <w:rPr>
          <w:rFonts w:eastAsia="DejaVuSerif-Italic"/>
          <w:iCs/>
          <w:lang w:eastAsia="en-US"/>
        </w:rPr>
        <w:t>6601 003 0001 005</w:t>
      </w:r>
      <w:r w:rsidRPr="005E7B53">
        <w:rPr>
          <w:rFonts w:eastAsia="DejaVuSerif-Italic"/>
          <w:iCs/>
          <w:lang w:eastAsia="en-US"/>
        </w:rPr>
        <w:t xml:space="preserve">, energosertifikāta (turpmāk – energosertifikāts) aktualizāciju, nodrošinot, ka pēc </w:t>
      </w:r>
      <w:r w:rsidRPr="005E7B53">
        <w:t>energoefektivitātes un siltumnoturības uzlabojošu pasākumu veikšanas tiek sasniegti vismaz minimālie projektu atlasē noteiktie rādītāji:</w:t>
      </w:r>
    </w:p>
    <w:p w14:paraId="257A6726" w14:textId="77777777" w:rsidR="005E7B53" w:rsidRPr="005E7B53" w:rsidRDefault="005E7B53" w:rsidP="005E7B53">
      <w:pPr>
        <w:numPr>
          <w:ilvl w:val="1"/>
          <w:numId w:val="11"/>
        </w:numPr>
        <w:tabs>
          <w:tab w:val="left" w:pos="851"/>
        </w:tabs>
        <w:suppressAutoHyphens w:val="0"/>
        <w:autoSpaceDE w:val="0"/>
        <w:autoSpaceDN w:val="0"/>
        <w:adjustRightInd w:val="0"/>
        <w:contextualSpacing/>
        <w:jc w:val="both"/>
      </w:pPr>
      <w:r w:rsidRPr="005E7B53">
        <w:t>primārās enerģijas ietaupījums gadā vismaz 30 % apjomā;</w:t>
      </w:r>
    </w:p>
    <w:p w14:paraId="63D3DF30" w14:textId="77777777" w:rsidR="005E7B53" w:rsidRPr="005E7B53" w:rsidRDefault="005E7B53" w:rsidP="005E7B53">
      <w:pPr>
        <w:numPr>
          <w:ilvl w:val="1"/>
          <w:numId w:val="11"/>
        </w:numPr>
        <w:tabs>
          <w:tab w:val="left" w:pos="851"/>
        </w:tabs>
        <w:suppressAutoHyphens w:val="0"/>
        <w:autoSpaceDE w:val="0"/>
        <w:autoSpaceDN w:val="0"/>
        <w:adjustRightInd w:val="0"/>
        <w:contextualSpacing/>
        <w:jc w:val="both"/>
      </w:pPr>
      <w:r w:rsidRPr="005E7B53">
        <w:t>nodrošinātas LBN 002-19 “Ēku norobežojošo konstrukciju siltumtehnika” minimālās energoefektivitātes prasības;</w:t>
      </w:r>
    </w:p>
    <w:p w14:paraId="52263217" w14:textId="77777777" w:rsidR="005E7B53" w:rsidRPr="005E7B53" w:rsidRDefault="005E7B53" w:rsidP="005E7B53">
      <w:pPr>
        <w:numPr>
          <w:ilvl w:val="1"/>
          <w:numId w:val="11"/>
        </w:numPr>
        <w:tabs>
          <w:tab w:val="left" w:pos="851"/>
        </w:tabs>
        <w:suppressAutoHyphens w:val="0"/>
        <w:autoSpaceDE w:val="0"/>
        <w:autoSpaceDN w:val="0"/>
        <w:adjustRightInd w:val="0"/>
        <w:contextualSpacing/>
        <w:jc w:val="both"/>
      </w:pPr>
      <w:r w:rsidRPr="005E7B53">
        <w:t xml:space="preserve">plānoto energoefektivitātes pasākumu izmaksas nepārsniedz 6 EUR uz 1 plānoto primārās enerģijas ietaupījuma kWh/gadā. </w:t>
      </w:r>
    </w:p>
    <w:p w14:paraId="1E5C8DA6" w14:textId="77777777" w:rsidR="005E7B53" w:rsidRPr="005E7B53" w:rsidRDefault="005E7B53" w:rsidP="005E7B53">
      <w:pPr>
        <w:numPr>
          <w:ilvl w:val="0"/>
          <w:numId w:val="11"/>
        </w:numPr>
        <w:suppressAutoHyphens w:val="0"/>
        <w:autoSpaceDE w:val="0"/>
        <w:autoSpaceDN w:val="0"/>
        <w:adjustRightInd w:val="0"/>
        <w:contextualSpacing/>
        <w:jc w:val="both"/>
      </w:pPr>
      <w:r w:rsidRPr="005E7B53">
        <w:t>Energosertifikāta aktualizācijā Izpildītājs ievēro jau iepriekš plānotos pasākumus, nosacījumus un izmanto veidlapas, kas noteiktas šādos dokumentos:</w:t>
      </w:r>
    </w:p>
    <w:p w14:paraId="5FB2E55B" w14:textId="77777777" w:rsidR="005E7B53" w:rsidRPr="005E7B53" w:rsidRDefault="005E7B53" w:rsidP="005E7B53">
      <w:pPr>
        <w:numPr>
          <w:ilvl w:val="1"/>
          <w:numId w:val="11"/>
        </w:numPr>
        <w:suppressAutoHyphens w:val="0"/>
        <w:autoSpaceDE w:val="0"/>
        <w:autoSpaceDN w:val="0"/>
        <w:adjustRightInd w:val="0"/>
        <w:contextualSpacing/>
        <w:jc w:val="both"/>
      </w:pPr>
      <w:r w:rsidRPr="005E7B53">
        <w:t>aktuālie normatīvi ēku energosertificēšanas jomā, tajā skaitā 08.04.2021. Ministru kabineta noteikumi Nr. 222 “Ēku energoefektivitātes aprēķina metodes un ēku energosertifikācijas noteikumi”;</w:t>
      </w:r>
    </w:p>
    <w:p w14:paraId="6D15BBE8" w14:textId="77777777" w:rsidR="005E7B53" w:rsidRPr="005E7B53" w:rsidRDefault="005E7B53" w:rsidP="005E7B53">
      <w:pPr>
        <w:numPr>
          <w:ilvl w:val="1"/>
          <w:numId w:val="11"/>
        </w:numPr>
        <w:suppressAutoHyphens w:val="0"/>
        <w:autoSpaceDE w:val="0"/>
        <w:autoSpaceDN w:val="0"/>
        <w:adjustRightInd w:val="0"/>
        <w:contextualSpacing/>
        <w:jc w:val="both"/>
      </w:pPr>
      <w:r w:rsidRPr="005E7B53">
        <w:t>aktuālais Būvniecības informācijas sistēmā reģistrētais ēkas energosertifikāts;</w:t>
      </w:r>
    </w:p>
    <w:p w14:paraId="75D6AA0A" w14:textId="21A63619" w:rsidR="005E7B53" w:rsidRPr="005E7B53" w:rsidRDefault="005E7B53" w:rsidP="005E7B53">
      <w:pPr>
        <w:numPr>
          <w:ilvl w:val="1"/>
          <w:numId w:val="11"/>
        </w:numPr>
        <w:suppressAutoHyphens w:val="0"/>
        <w:autoSpaceDE w:val="0"/>
        <w:autoSpaceDN w:val="0"/>
        <w:adjustRightInd w:val="0"/>
        <w:contextualSpacing/>
        <w:jc w:val="both"/>
      </w:pPr>
      <w:r w:rsidRPr="005E7B53">
        <w:rPr>
          <w:color w:val="000000"/>
        </w:rPr>
        <w:t>apliecinājuma karte “</w:t>
      </w:r>
      <w:r w:rsidR="003C6D5D" w:rsidRPr="003C6D5D">
        <w:rPr>
          <w:color w:val="000000"/>
        </w:rPr>
        <w:t>Ēkas Vecās Sārmes ielā 10 energoefektivitātes paaugstināšana un ventilācijas sistēmas izbūve</w:t>
      </w:r>
      <w:r w:rsidRPr="005E7B53">
        <w:rPr>
          <w:color w:val="000000"/>
        </w:rPr>
        <w:t xml:space="preserve">” (turpmāk – apliecinājuma karte), BIS lieta Nr. </w:t>
      </w:r>
      <w:r w:rsidR="003C6D5D" w:rsidRPr="003C6D5D">
        <w:t>BIS-BL-371087-3382</w:t>
      </w:r>
      <w:r w:rsidRPr="005E7B53">
        <w:rPr>
          <w:color w:val="000000"/>
        </w:rPr>
        <w:t>;</w:t>
      </w:r>
    </w:p>
    <w:p w14:paraId="47463E17" w14:textId="77777777" w:rsidR="005E7B53" w:rsidRPr="005E7B53" w:rsidRDefault="005E7B53" w:rsidP="005E7B53">
      <w:pPr>
        <w:numPr>
          <w:ilvl w:val="1"/>
          <w:numId w:val="11"/>
        </w:numPr>
        <w:suppressAutoHyphens w:val="0"/>
        <w:autoSpaceDE w:val="0"/>
        <w:autoSpaceDN w:val="0"/>
        <w:adjustRightInd w:val="0"/>
        <w:contextualSpacing/>
        <w:jc w:val="both"/>
      </w:pPr>
      <w:r w:rsidRPr="005E7B53">
        <w:rPr>
          <w:color w:val="000000"/>
        </w:rPr>
        <w:t>08.11.2022. Ministru kabineta noteikumi Nr. 709 “</w:t>
      </w:r>
      <w:r w:rsidRPr="005E7B53">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w:t>
      </w:r>
      <w:r w:rsidRPr="005E7B53">
        <w:rPr>
          <w:color w:val="000000"/>
        </w:rPr>
        <w:t xml:space="preserve">” un vietnē </w:t>
      </w:r>
      <w:hyperlink r:id="rId10" w:history="1">
        <w:r w:rsidRPr="005E7B53">
          <w:rPr>
            <w:color w:val="000000"/>
            <w:u w:val="single"/>
          </w:rPr>
          <w:t>https://www.cfla.gov.lv/lv/1213i-pasvaldibu-eku-un-infrastrukturas-uzlabosana</w:t>
        </w:r>
      </w:hyperlink>
      <w:r w:rsidRPr="005E7B53">
        <w:rPr>
          <w:color w:val="000000"/>
        </w:rPr>
        <w:t xml:space="preserve"> pieejamie dokumenti:</w:t>
      </w:r>
    </w:p>
    <w:p w14:paraId="6CC8C6F4" w14:textId="77777777" w:rsidR="005E7B53" w:rsidRPr="005E7B53" w:rsidRDefault="005E7B53" w:rsidP="005E7B53">
      <w:pPr>
        <w:numPr>
          <w:ilvl w:val="2"/>
          <w:numId w:val="11"/>
        </w:numPr>
        <w:suppressAutoHyphens w:val="0"/>
        <w:autoSpaceDE w:val="0"/>
        <w:autoSpaceDN w:val="0"/>
        <w:adjustRightInd w:val="0"/>
        <w:contextualSpacing/>
        <w:jc w:val="both"/>
      </w:pPr>
      <w:r w:rsidRPr="005E7B53">
        <w:t>projektu iesniegumu atlases nolikums (turpmāk – atlases nolikums);</w:t>
      </w:r>
    </w:p>
    <w:p w14:paraId="6D856D3B" w14:textId="77777777" w:rsidR="005E7B53" w:rsidRPr="005E7B53" w:rsidRDefault="005E7B53" w:rsidP="005E7B53">
      <w:pPr>
        <w:numPr>
          <w:ilvl w:val="2"/>
          <w:numId w:val="11"/>
        </w:numPr>
        <w:suppressAutoHyphens w:val="0"/>
        <w:autoSpaceDE w:val="0"/>
        <w:autoSpaceDN w:val="0"/>
        <w:adjustRightInd w:val="0"/>
        <w:contextualSpacing/>
        <w:jc w:val="both"/>
      </w:pPr>
      <w:r w:rsidRPr="005E7B53">
        <w:t>12.01.2023. vebināra prezentācija (PDF) “Ēku energoefektivitātes novērtēšanas un siltumnoturības uzlabošanas dokumentācija”.</w:t>
      </w:r>
    </w:p>
    <w:p w14:paraId="32BC7489" w14:textId="52AC663A" w:rsidR="005E7B53" w:rsidRDefault="005E7B53" w:rsidP="005E7B53">
      <w:pPr>
        <w:numPr>
          <w:ilvl w:val="0"/>
          <w:numId w:val="11"/>
        </w:numPr>
        <w:tabs>
          <w:tab w:val="left" w:pos="426"/>
        </w:tabs>
        <w:suppressAutoHyphens w:val="0"/>
        <w:autoSpaceDE w:val="0"/>
        <w:autoSpaceDN w:val="0"/>
        <w:adjustRightInd w:val="0"/>
        <w:contextualSpacing/>
        <w:jc w:val="both"/>
        <w:rPr>
          <w:color w:val="000000"/>
        </w:rPr>
      </w:pPr>
      <w:r w:rsidRPr="005E7B53">
        <w:t>Energosertifikāta aktualizācijā Izpildītājs vērš uzmanību uz Centrālās finanšu un līgumu aģentūras iepriekš konstatētajām neprecizitātēm energosertifikātā</w:t>
      </w:r>
      <w:r w:rsidR="0048420B">
        <w:rPr>
          <w:color w:val="00000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
        <w:gridCol w:w="2041"/>
        <w:gridCol w:w="6423"/>
      </w:tblGrid>
      <w:tr w:rsidR="0048420B" w:rsidRPr="00A36713" w14:paraId="3A4ED676" w14:textId="77777777" w:rsidTr="008D4B63">
        <w:tc>
          <w:tcPr>
            <w:tcW w:w="1034" w:type="dxa"/>
            <w:shd w:val="clear" w:color="auto" w:fill="F2F2F2"/>
            <w:vAlign w:val="center"/>
          </w:tcPr>
          <w:p w14:paraId="561C7F05" w14:textId="77777777" w:rsidR="0048420B" w:rsidRPr="00A36713" w:rsidRDefault="0048420B" w:rsidP="008D4B63">
            <w:pPr>
              <w:suppressAutoHyphens w:val="0"/>
              <w:spacing w:before="120"/>
              <w:jc w:val="center"/>
              <w:rPr>
                <w:lang w:eastAsia="en-US"/>
              </w:rPr>
            </w:pPr>
            <w:r w:rsidRPr="00A36713">
              <w:rPr>
                <w:lang w:eastAsia="en-US"/>
              </w:rPr>
              <w:t>Kritērija Nr.</w:t>
            </w:r>
          </w:p>
        </w:tc>
        <w:tc>
          <w:tcPr>
            <w:tcW w:w="2041" w:type="dxa"/>
            <w:shd w:val="clear" w:color="auto" w:fill="F2F2F2"/>
            <w:vAlign w:val="center"/>
          </w:tcPr>
          <w:p w14:paraId="1E41D010" w14:textId="77777777" w:rsidR="0048420B" w:rsidRPr="00A36713" w:rsidRDefault="0048420B" w:rsidP="008D4B63">
            <w:pPr>
              <w:suppressAutoHyphens w:val="0"/>
              <w:spacing w:before="120"/>
              <w:jc w:val="center"/>
              <w:rPr>
                <w:lang w:eastAsia="en-US"/>
              </w:rPr>
            </w:pPr>
            <w:r w:rsidRPr="00A36713">
              <w:rPr>
                <w:lang w:eastAsia="en-US"/>
              </w:rPr>
              <w:t>Kritērijs</w:t>
            </w:r>
          </w:p>
        </w:tc>
        <w:tc>
          <w:tcPr>
            <w:tcW w:w="6423" w:type="dxa"/>
            <w:shd w:val="clear" w:color="auto" w:fill="F2F2F2"/>
            <w:vAlign w:val="center"/>
          </w:tcPr>
          <w:p w14:paraId="5DD7C935" w14:textId="77777777" w:rsidR="0048420B" w:rsidRPr="00A36713" w:rsidRDefault="0048420B" w:rsidP="008D4B63">
            <w:pPr>
              <w:suppressAutoHyphens w:val="0"/>
              <w:spacing w:before="120"/>
              <w:jc w:val="center"/>
              <w:rPr>
                <w:lang w:eastAsia="en-US"/>
              </w:rPr>
            </w:pPr>
            <w:r w:rsidRPr="00A36713">
              <w:rPr>
                <w:lang w:eastAsia="en-US"/>
              </w:rPr>
              <w:t>Konstatētā kritērija izpildes nepilnība</w:t>
            </w:r>
          </w:p>
        </w:tc>
      </w:tr>
      <w:tr w:rsidR="0048420B" w:rsidRPr="00A36713" w14:paraId="4CF5972B" w14:textId="77777777" w:rsidTr="008D4B63">
        <w:trPr>
          <w:trHeight w:val="131"/>
        </w:trPr>
        <w:tc>
          <w:tcPr>
            <w:tcW w:w="1034" w:type="dxa"/>
          </w:tcPr>
          <w:p w14:paraId="7D864F65" w14:textId="77777777" w:rsidR="0048420B" w:rsidRPr="00A36713" w:rsidRDefault="0048420B" w:rsidP="008D4B63">
            <w:pPr>
              <w:suppressAutoHyphens w:val="0"/>
              <w:jc w:val="center"/>
              <w:rPr>
                <w:rFonts w:eastAsia="Calibri"/>
                <w:lang w:eastAsia="en-US"/>
              </w:rPr>
            </w:pPr>
            <w:r w:rsidRPr="00A36713">
              <w:rPr>
                <w:rFonts w:eastAsia="Calibri"/>
                <w:color w:val="000000"/>
                <w:lang w:val="en-US" w:eastAsia="en-US"/>
              </w:rPr>
              <w:t xml:space="preserve">1.10. </w:t>
            </w:r>
          </w:p>
        </w:tc>
        <w:tc>
          <w:tcPr>
            <w:tcW w:w="2041" w:type="dxa"/>
          </w:tcPr>
          <w:p w14:paraId="24A0D06D" w14:textId="77777777" w:rsidR="0048420B" w:rsidRPr="00A36713" w:rsidRDefault="0048420B" w:rsidP="008D4B63">
            <w:pPr>
              <w:suppressAutoHyphens w:val="0"/>
              <w:jc w:val="both"/>
              <w:rPr>
                <w:rFonts w:eastAsia="Calibri"/>
                <w:lang w:eastAsia="en-US"/>
              </w:rPr>
            </w:pPr>
            <w:r w:rsidRPr="00A36713">
              <w:rPr>
                <w:color w:val="000000"/>
                <w:lang w:eastAsia="en-US"/>
              </w:rPr>
              <w:t>Projekta</w:t>
            </w:r>
            <w:r w:rsidRPr="00A36713">
              <w:rPr>
                <w:rFonts w:eastAsia="Calibri"/>
                <w:color w:val="000000"/>
                <w:lang w:eastAsia="en-US"/>
              </w:rPr>
              <w:t xml:space="preserve"> mērķis atbilst MK noteikumos par specifiskā </w:t>
            </w:r>
            <w:r w:rsidRPr="00A36713">
              <w:rPr>
                <w:rFonts w:eastAsia="Calibri"/>
                <w:color w:val="000000"/>
                <w:lang w:eastAsia="en-US"/>
              </w:rPr>
              <w:lastRenderedPageBreak/>
              <w:t>atbalsta mērķa īstenošanu noteiktajam mērķim un sagaidāmie rezultāti un uzraudzības rādītāji ir precīzi definēti, pamatoti un izmērāmi un tie sekmē MK noteikumos par specifiskā atbalsta mērķa īstenošanu noteikto rādītāju sasniegšanu.</w:t>
            </w:r>
          </w:p>
        </w:tc>
        <w:tc>
          <w:tcPr>
            <w:tcW w:w="6423" w:type="dxa"/>
          </w:tcPr>
          <w:p w14:paraId="4868AD74" w14:textId="77777777" w:rsidR="0048420B" w:rsidRPr="00A36713" w:rsidRDefault="0048420B" w:rsidP="008D4B63">
            <w:pPr>
              <w:suppressAutoHyphens w:val="0"/>
              <w:jc w:val="both"/>
              <w:rPr>
                <w:rFonts w:eastAsia="ヒラギノ角ゴ Pro W3"/>
                <w:lang w:eastAsia="en-US"/>
              </w:rPr>
            </w:pPr>
            <w:r w:rsidRPr="00A36713">
              <w:rPr>
                <w:rFonts w:eastAsia="ヒラギノ角ゴ Pro W3"/>
                <w:lang w:eastAsia="en-US"/>
              </w:rPr>
              <w:lastRenderedPageBreak/>
              <w:t>[..]</w:t>
            </w:r>
          </w:p>
          <w:p w14:paraId="72D31C65" w14:textId="77777777" w:rsidR="0048420B" w:rsidRPr="00A36713" w:rsidRDefault="0048420B" w:rsidP="008D4B63">
            <w:pPr>
              <w:suppressAutoHyphens w:val="0"/>
              <w:jc w:val="both"/>
              <w:rPr>
                <w:rFonts w:eastAsia="ヒラギノ角ゴ Pro W3"/>
                <w:b/>
                <w:bCs/>
                <w:lang w:eastAsia="en-US"/>
              </w:rPr>
            </w:pPr>
            <w:r w:rsidRPr="00A36713">
              <w:rPr>
                <w:rFonts w:eastAsia="ヒラギノ角ゴ Pro W3"/>
                <w:b/>
                <w:bCs/>
                <w:lang w:eastAsia="en-US"/>
              </w:rPr>
              <w:t>Konstatēts:</w:t>
            </w:r>
          </w:p>
          <w:p w14:paraId="27F5460E" w14:textId="77777777" w:rsidR="0048420B" w:rsidRPr="00A36713" w:rsidRDefault="0048420B" w:rsidP="008D4B63">
            <w:pPr>
              <w:suppressAutoHyphens w:val="0"/>
              <w:jc w:val="both"/>
              <w:rPr>
                <w:rFonts w:eastAsia="ヒラギノ角ゴ Pro W3"/>
                <w:lang w:eastAsia="en-US"/>
              </w:rPr>
            </w:pPr>
            <w:r w:rsidRPr="00A36713">
              <w:rPr>
                <w:rFonts w:eastAsia="ヒラギノ角ゴ Pro W3"/>
                <w:lang w:eastAsia="en-US"/>
              </w:rPr>
              <w:t>Saskaņā ar Ministru kabineta noteikumu Nr.152</w:t>
            </w:r>
            <w:r w:rsidRPr="00A36713">
              <w:rPr>
                <w:rFonts w:eastAsia="ヒラギノ角ゴ Pro W3"/>
                <w:vertAlign w:val="superscript"/>
                <w:lang w:eastAsia="en-US"/>
              </w:rPr>
              <w:footnoteReference w:id="1"/>
            </w:r>
            <w:r w:rsidRPr="00A36713">
              <w:rPr>
                <w:rFonts w:eastAsia="ヒラギノ角ゴ Pro W3"/>
                <w:lang w:eastAsia="en-US"/>
              </w:rPr>
              <w:t xml:space="preserve"> (turpmāk – MK noteikumi) 41.punktā noteikto atbalstāmas ir darbības, kas sekmē </w:t>
            </w:r>
            <w:r w:rsidRPr="00A36713">
              <w:rPr>
                <w:rFonts w:eastAsia="ヒラギノ角ゴ Pro W3"/>
                <w:lang w:eastAsia="en-US"/>
              </w:rPr>
              <w:lastRenderedPageBreak/>
              <w:t>MK noteikumu 10.1.apakšpunktā minēto iznākuma rādītāju sasniegšanu un ietver investīcijas pašvaldību infrastruktūrā energoefektivitātes paaugstināšanai saskaņā ar pašvaldības attīstības programmā noteikto. Savukārt, saskaņā ar SAM atlases nolikuma 4.pielikuma “Projektu iesniegumu vērtēšanas kritēriju piemērošanas metodika” noteikto, lai gūtu pārliecību, ka projekta iesnieguma 1.6.punktā “Projektā sasniedzamie uzraudzības rādītāji atbilstoši normatīvajos aktos par attiecīgā Eiropas Savienības fonda specifiskā atbalsta mērķa vai pasākuma īstenošanu norādītajiem” norādītās un MK noteikumos plānoto uzraudzības rādītāju vērtības atbilst MK noteikumu nosacījumiem, energosertifikācijai ir jābūt veiktai atbilstoši 2021.gada 8.aprīļa MK noteikumiem Nr. 222 “Ēku energoefektivitātes aprēķina metodes un ēku energosertifikācijas noteikumi” (turpmāk - MK noteikumi Nr. 222).</w:t>
            </w:r>
          </w:p>
          <w:p w14:paraId="078D4834" w14:textId="77777777" w:rsidR="0048420B" w:rsidRPr="00A36713" w:rsidRDefault="0048420B" w:rsidP="008D4B63">
            <w:pPr>
              <w:suppressAutoHyphens w:val="0"/>
              <w:jc w:val="both"/>
              <w:rPr>
                <w:rFonts w:eastAsia="ヒラギノ角ゴ Pro W3"/>
                <w:lang w:eastAsia="en-US"/>
              </w:rPr>
            </w:pPr>
          </w:p>
          <w:p w14:paraId="5217A072" w14:textId="77777777" w:rsidR="0048420B" w:rsidRPr="00A36713" w:rsidRDefault="0048420B" w:rsidP="008D4B63">
            <w:pPr>
              <w:widowControl w:val="0"/>
              <w:numPr>
                <w:ilvl w:val="0"/>
                <w:numId w:val="7"/>
              </w:numPr>
              <w:suppressAutoHyphens w:val="0"/>
              <w:spacing w:after="160" w:line="259" w:lineRule="auto"/>
              <w:ind w:left="317"/>
              <w:jc w:val="both"/>
              <w:rPr>
                <w:lang w:eastAsia="en-US"/>
              </w:rPr>
            </w:pPr>
            <w:r w:rsidRPr="00A36713">
              <w:rPr>
                <w:lang w:eastAsia="en-US"/>
              </w:rPr>
              <w:t>Izvērtējot ar projekta precizējumiem iesniegto ēkas energosertifikāta pielikumu “Pārskats par ēkas energosertifikāta aprēķinos izmantotajām ievaddatu vērtībām” (turpmāk – Pārskats), tika konstatēts, ka ievaddatu un izvaddatu vērtības neatbilst MK noteikumu Nr.222 42.punktā noteiktajam, proti, ka ēkas energosertifikāciju veic saskaņā ar šo noteikumu 7.pielikumā norādītajiem ēku energoefektivitātes visaptverošajiem standartiem. Pārskatā nav:</w:t>
            </w:r>
          </w:p>
          <w:p w14:paraId="6F732009" w14:textId="77777777" w:rsidR="0048420B" w:rsidRPr="00A36713" w:rsidRDefault="0048420B" w:rsidP="008D4B63">
            <w:pPr>
              <w:widowControl w:val="0"/>
              <w:numPr>
                <w:ilvl w:val="0"/>
                <w:numId w:val="8"/>
              </w:numPr>
              <w:suppressAutoHyphens w:val="0"/>
              <w:spacing w:after="160" w:line="259" w:lineRule="auto"/>
              <w:jc w:val="both"/>
              <w:rPr>
                <w:lang w:eastAsia="en-US"/>
              </w:rPr>
            </w:pPr>
            <w:r w:rsidRPr="00A36713">
              <w:rPr>
                <w:lang w:eastAsia="en-US"/>
              </w:rPr>
              <w:t>iekļauta informācija, kas atbilst MK noteikumu Nr.222 7.pielikuma 1.punktā norādītā dokumenta “LVS EN ISO 52000-1:2017 “Ēku energoefektivitāte. Vispārējs ēku energoefektivitātes novērtējums. 1. daļa: Vispārīgas pamatnostādnes un procedūras (ISO 52000-1:2017) [..]” 11.2.punkta “Kopējā aprēķina procedūra (posmi)” d) apakšpunkta “Attiecībā uz katru aprēķina intervālu aprēķina enerģijas vajadzības apkurei [..]” prasībām,</w:t>
            </w:r>
          </w:p>
          <w:p w14:paraId="2EA0E551" w14:textId="77777777" w:rsidR="0048420B" w:rsidRPr="00A36713" w:rsidRDefault="0048420B" w:rsidP="008D4B63">
            <w:pPr>
              <w:widowControl w:val="0"/>
              <w:numPr>
                <w:ilvl w:val="0"/>
                <w:numId w:val="8"/>
              </w:numPr>
              <w:suppressAutoHyphens w:val="0"/>
              <w:spacing w:after="160" w:line="259" w:lineRule="auto"/>
              <w:jc w:val="both"/>
              <w:rPr>
                <w:lang w:eastAsia="en-US"/>
              </w:rPr>
            </w:pPr>
            <w:r w:rsidRPr="00A36713">
              <w:rPr>
                <w:lang w:eastAsia="en-US"/>
              </w:rPr>
              <w:t>iekļautas aprēķinātās energoefektivitātes izvades vērtības, kas atbilst MK noteikumu Nr.222 7.pielikuma 1.punktā norādītā dokumenta “LVS EN ISO 52000-1:2017 “Ēku energoefektivitāte. Vispārējs ēku energoefektivitātes novērtējums. 1. daļa: Vispārīgas pamatnostādnes un procedūras (ISO 52000-1:2017) [..]” 12.sadaļas nosacījuma “Ziņojumā jāietver vismaz šādas sadaļas: [..] mēneša apkures un dzesēšanas energoprasības, vidējā mēneša iekštelpu temperatūra un āra temperatūra, globālais saules starojums uz horizontālās plaknes, pārvades un ventilācijas siltumpārnese, saules enerģijas ieguvumi un iekšējie ieguvumi” prasībām,</w:t>
            </w:r>
          </w:p>
          <w:p w14:paraId="6D8A2B91" w14:textId="77777777" w:rsidR="0048420B" w:rsidRPr="00A36713" w:rsidRDefault="0048420B" w:rsidP="008D4B63">
            <w:pPr>
              <w:widowControl w:val="0"/>
              <w:numPr>
                <w:ilvl w:val="0"/>
                <w:numId w:val="8"/>
              </w:numPr>
              <w:suppressAutoHyphens w:val="0"/>
              <w:spacing w:after="160" w:line="259" w:lineRule="auto"/>
              <w:jc w:val="both"/>
              <w:rPr>
                <w:lang w:eastAsia="en-US"/>
              </w:rPr>
            </w:pPr>
            <w:r w:rsidRPr="00A36713">
              <w:rPr>
                <w:lang w:eastAsia="en-US"/>
              </w:rPr>
              <w:t xml:space="preserve">iekļauta informācija, kas atbilst MK noteikumu Nr.222 </w:t>
            </w:r>
            <w:r w:rsidRPr="00A36713">
              <w:rPr>
                <w:lang w:eastAsia="en-US"/>
              </w:rPr>
              <w:lastRenderedPageBreak/>
              <w:t>7.pielikuma 4.punktā norādītā dokumenta “LVS EN ISO 52016-1:2021 “Ēku energoefektivitāte. Apkurei un dzesēšanai nepieciešamās enerģijas, iekšējās temperatūras un sajūtamā un latentā siltuma slodzes. 1. daļa: Aprēķina procedūras (ISO 52016-1:2017)” un nacionālais pielikums LVS EN ISO 52016-1:2017/NA:2020 “Ēku energoefektivitāte. Apkurei un dzesēšanai nepieciešamās enerģijas, iekšējās temperatūras un sajūtamā un latentā siltuma slodzes. 1.daļa: Aprēķina procedūras (ISO 52016-1:2017). Nacionālais pielikums” 6.6.punkta “Mēneša metode” 6.6.4.2.apakšpunkta “Energoprasība apkurei” 95.formulā definētā kopējā intervālu skaita (12 mēneši) prasībām</w:t>
            </w:r>
          </w:p>
          <w:p w14:paraId="68B63D07" w14:textId="77777777" w:rsidR="0048420B" w:rsidRPr="00A36713" w:rsidRDefault="0048420B" w:rsidP="008D4B63">
            <w:pPr>
              <w:suppressAutoHyphens w:val="0"/>
              <w:ind w:left="601"/>
              <w:jc w:val="both"/>
              <w:rPr>
                <w:lang w:eastAsia="en-US"/>
              </w:rPr>
            </w:pPr>
            <w:r w:rsidRPr="00A36713">
              <w:rPr>
                <w:rFonts w:eastAsia="ヒラギノ角ゴ Pro W3"/>
                <w:noProof/>
                <w:color w:val="000000"/>
                <w:lang w:eastAsia="en-US"/>
              </w:rPr>
              <w:drawing>
                <wp:inline distT="0" distB="0" distL="0" distR="0" wp14:anchorId="04B5245E" wp14:editId="3440D229">
                  <wp:extent cx="2211572" cy="567941"/>
                  <wp:effectExtent l="0" t="0" r="0" b="38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11"/>
                          <a:stretch>
                            <a:fillRect/>
                          </a:stretch>
                        </pic:blipFill>
                        <pic:spPr>
                          <a:xfrm>
                            <a:off x="0" y="0"/>
                            <a:ext cx="2212550" cy="568192"/>
                          </a:xfrm>
                          <a:prstGeom prst="rect">
                            <a:avLst/>
                          </a:prstGeom>
                        </pic:spPr>
                      </pic:pic>
                    </a:graphicData>
                  </a:graphic>
                </wp:inline>
              </w:drawing>
            </w:r>
          </w:p>
          <w:p w14:paraId="3250305A" w14:textId="77777777" w:rsidR="0048420B" w:rsidRPr="00A36713" w:rsidRDefault="0048420B" w:rsidP="008D4B63">
            <w:pPr>
              <w:suppressAutoHyphens w:val="0"/>
              <w:ind w:left="317"/>
              <w:jc w:val="both"/>
              <w:rPr>
                <w:lang w:eastAsia="en-US"/>
              </w:rPr>
            </w:pPr>
            <w:r w:rsidRPr="00A36713">
              <w:rPr>
                <w:lang w:eastAsia="en-US"/>
              </w:rPr>
              <w:t>Līdz ar to, pamatojoties uz augstāk minēto, ēkas energoefektivitātes novērtējums pirms un pēc energoefektivitātes paaugstināšanas priekšlikumu īstenošanas nav ticams un nav izmantojams projekta plānoto rādītāju novērtēšanā.</w:t>
            </w:r>
          </w:p>
          <w:p w14:paraId="495BBB5F" w14:textId="77777777" w:rsidR="0048420B" w:rsidRPr="00A36713" w:rsidRDefault="0048420B" w:rsidP="008D4B63">
            <w:pPr>
              <w:widowControl w:val="0"/>
              <w:numPr>
                <w:ilvl w:val="0"/>
                <w:numId w:val="7"/>
              </w:numPr>
              <w:suppressAutoHyphens w:val="0"/>
              <w:spacing w:after="160" w:line="259" w:lineRule="auto"/>
              <w:ind w:left="317"/>
              <w:jc w:val="both"/>
              <w:rPr>
                <w:lang w:eastAsia="en-US"/>
              </w:rPr>
            </w:pPr>
            <w:r w:rsidRPr="00A36713">
              <w:rPr>
                <w:lang w:eastAsia="en-US"/>
              </w:rPr>
              <w:t>Papildus tam konstatēts – ēkas energosertifikāta pārskatā nav norādīts detalizēts energoefektivitātes aprēķins situācijai pēc priekšlikumu īstenošanas un atlases nolikuma 7.pielikumā “</w:t>
            </w:r>
            <w:r w:rsidRPr="00A36713">
              <w:rPr>
                <w:rFonts w:eastAsia="ヒラギノ角ゴ Pro W3"/>
                <w:color w:val="000000"/>
                <w:lang w:eastAsia="en-US"/>
              </w:rPr>
              <w:t>Primārās enerģijas un siltumnīcefekta gāzu emisiju novērtējums</w:t>
            </w:r>
            <w:r w:rsidRPr="00A36713">
              <w:rPr>
                <w:lang w:eastAsia="en-US"/>
              </w:rPr>
              <w:t>” norādītie dati situācijai pēc priekšlikumu īstenošanas nav pārbaudāmi.</w:t>
            </w:r>
          </w:p>
          <w:p w14:paraId="5F2FFAB6" w14:textId="77777777" w:rsidR="0048420B" w:rsidRPr="00A36713" w:rsidRDefault="0048420B" w:rsidP="008D4B63">
            <w:pPr>
              <w:widowControl w:val="0"/>
              <w:numPr>
                <w:ilvl w:val="0"/>
                <w:numId w:val="7"/>
              </w:numPr>
              <w:suppressAutoHyphens w:val="0"/>
              <w:spacing w:after="160" w:line="259" w:lineRule="auto"/>
              <w:ind w:left="317"/>
              <w:jc w:val="both"/>
              <w:rPr>
                <w:lang w:eastAsia="en-US"/>
              </w:rPr>
            </w:pPr>
            <w:r w:rsidRPr="00A36713">
              <w:rPr>
                <w:lang w:eastAsia="en-US"/>
              </w:rPr>
              <w:t>Projektam nav pievienots ēkas pagaidu energosertifikāts atbilstoši MK noteikumu Nr.222 3.3.punktam.</w:t>
            </w:r>
          </w:p>
          <w:p w14:paraId="4EB1F1BB" w14:textId="77777777" w:rsidR="0048420B" w:rsidRPr="00A36713" w:rsidRDefault="0048420B" w:rsidP="008D4B63">
            <w:pPr>
              <w:suppressAutoHyphens w:val="0"/>
              <w:ind w:left="317"/>
              <w:jc w:val="both"/>
              <w:rPr>
                <w:lang w:eastAsia="en-US"/>
              </w:rPr>
            </w:pPr>
          </w:p>
          <w:p w14:paraId="1B937611" w14:textId="77777777" w:rsidR="0048420B" w:rsidRPr="00A36713" w:rsidRDefault="0048420B" w:rsidP="008D4B63">
            <w:pPr>
              <w:suppressAutoHyphens w:val="0"/>
              <w:jc w:val="both"/>
              <w:rPr>
                <w:lang w:eastAsia="en-US"/>
              </w:rPr>
            </w:pPr>
            <w:r w:rsidRPr="00A36713">
              <w:rPr>
                <w:color w:val="000000"/>
                <w:lang w:eastAsia="en-US"/>
              </w:rPr>
              <w:t>Ņemot vērā iepriekš minēto, konstatējams, ka</w:t>
            </w:r>
            <w:r w:rsidRPr="00A36713">
              <w:rPr>
                <w:b/>
                <w:bCs/>
                <w:color w:val="000000"/>
                <w:lang w:eastAsia="en-US"/>
              </w:rPr>
              <w:t xml:space="preserve"> nosacījumi nav izpildīti</w:t>
            </w:r>
            <w:r w:rsidRPr="00A36713">
              <w:rPr>
                <w:color w:val="000000"/>
                <w:lang w:eastAsia="en-US"/>
              </w:rPr>
              <w:t>, lai gūtu pārliecību, ka projekta mērķis atbilst MK noteikumos par specifiskā atbalsta mērķa īstenošanu noteiktajam mērķim un sagaidāmie rezultāti un uzraudzības rādītāji ir precīzi definēti, pamatoti un izmērāmi un tie sekmē MK noteikumos par specifiskā atbalsta mērķa īstenošanu noteikto rādītāju sasniegšanu</w:t>
            </w:r>
            <w:r w:rsidRPr="00A36713">
              <w:rPr>
                <w:lang w:eastAsia="en-US"/>
              </w:rPr>
              <w:t>.</w:t>
            </w:r>
          </w:p>
          <w:p w14:paraId="03252992" w14:textId="77777777" w:rsidR="0048420B" w:rsidRPr="00A36713" w:rsidRDefault="0048420B" w:rsidP="008D4B63">
            <w:pPr>
              <w:suppressAutoHyphens w:val="0"/>
              <w:jc w:val="both"/>
              <w:rPr>
                <w:b/>
                <w:bCs/>
                <w:lang w:eastAsia="en-US"/>
              </w:rPr>
            </w:pPr>
          </w:p>
          <w:p w14:paraId="43B86CC7" w14:textId="77777777" w:rsidR="0048420B" w:rsidRPr="00A36713" w:rsidRDefault="0048420B" w:rsidP="008D4B63">
            <w:pPr>
              <w:suppressAutoHyphens w:val="0"/>
              <w:jc w:val="both"/>
              <w:rPr>
                <w:lang w:eastAsia="en-US"/>
              </w:rPr>
            </w:pPr>
            <w:r w:rsidRPr="00A36713">
              <w:rPr>
                <w:b/>
                <w:bCs/>
                <w:color w:val="000000"/>
                <w:lang w:eastAsia="en-US"/>
              </w:rPr>
              <w:t xml:space="preserve">Papildus </w:t>
            </w:r>
            <w:r w:rsidRPr="00A36713">
              <w:rPr>
                <w:lang w:eastAsia="en-US"/>
              </w:rPr>
              <w:t>ēkas energosertifikāta pielikumos, būvprojektā kā arī celtniecības izmaksu tāmē konstatētas šādas savstarpējo datu atšķirības:</w:t>
            </w:r>
          </w:p>
          <w:p w14:paraId="1531E49E" w14:textId="77777777" w:rsidR="0048420B" w:rsidRPr="00A36713" w:rsidRDefault="0048420B" w:rsidP="008D4B63">
            <w:pPr>
              <w:widowControl w:val="0"/>
              <w:numPr>
                <w:ilvl w:val="0"/>
                <w:numId w:val="9"/>
              </w:numPr>
              <w:suppressAutoHyphens w:val="0"/>
              <w:spacing w:after="160" w:line="259" w:lineRule="auto"/>
              <w:ind w:left="364" w:hanging="283"/>
              <w:jc w:val="both"/>
              <w:rPr>
                <w:lang w:eastAsia="en-US"/>
              </w:rPr>
            </w:pPr>
            <w:r w:rsidRPr="00A36713">
              <w:rPr>
                <w:lang w:eastAsia="en-US"/>
              </w:rPr>
              <w:t>ēkas energosertifikāta pārskatā norādīts veikt esošo starplogu karkasu demontāžu, izgatavojot jaunu karkasu un siltinot ar 250 mm siltumizolācijas materiālu, kas nav norādīts būvprojektā un būvizmaksu tāmē;</w:t>
            </w:r>
          </w:p>
          <w:p w14:paraId="361C2F1B" w14:textId="77777777" w:rsidR="0048420B" w:rsidRPr="00A36713" w:rsidRDefault="0048420B" w:rsidP="008D4B63">
            <w:pPr>
              <w:widowControl w:val="0"/>
              <w:numPr>
                <w:ilvl w:val="0"/>
                <w:numId w:val="9"/>
              </w:numPr>
              <w:suppressAutoHyphens w:val="0"/>
              <w:spacing w:after="160" w:line="259" w:lineRule="auto"/>
              <w:ind w:left="364" w:hanging="283"/>
              <w:contextualSpacing/>
              <w:jc w:val="both"/>
              <w:rPr>
                <w:lang w:eastAsia="en-US"/>
              </w:rPr>
            </w:pPr>
            <w:r w:rsidRPr="00A36713">
              <w:rPr>
                <w:lang w:eastAsia="en-US"/>
              </w:rPr>
              <w:t>ēkas energosertifikāta pārskatā norādīts veikt jumta siltināšanu ar 300 mm siltumizolācijas materiālu ar siltumvadītspējas koeficientu λ&lt;=0.039</w:t>
            </w:r>
            <w:r w:rsidRPr="00A36713">
              <w:rPr>
                <w:rFonts w:eastAsia="Calibri"/>
                <w:lang w:eastAsia="en-US"/>
              </w:rPr>
              <w:t xml:space="preserve"> </w:t>
            </w:r>
            <w:r w:rsidRPr="00A36713">
              <w:rPr>
                <w:lang w:eastAsia="en-US"/>
              </w:rPr>
              <w:t xml:space="preserve">W/(mK), savukārt būvprojektā un būvizmaksu tāmē jumta siltināšana paredzēta un izvēlētie </w:t>
            </w:r>
            <w:r w:rsidRPr="00A36713">
              <w:rPr>
                <w:lang w:eastAsia="en-US"/>
              </w:rPr>
              <w:lastRenderedPageBreak/>
              <w:t>materiāli ir atbilstoši energosertifikātā norādītajiem risinājumiem un ar 180 mm (λ&lt;=0.036 W/(mK)) + 100 mm (λ&lt;=0.036 W/(mK)) + 300 mm (λ&lt;=0.03 W/(mK)) + 0-320 mm (λ&lt;=0.036 W/(mK)) slīpumu veidojošais slānis;</w:t>
            </w:r>
          </w:p>
          <w:p w14:paraId="7247F101" w14:textId="77777777" w:rsidR="0048420B" w:rsidRPr="00A36713" w:rsidRDefault="0048420B" w:rsidP="008D4B63">
            <w:pPr>
              <w:widowControl w:val="0"/>
              <w:numPr>
                <w:ilvl w:val="0"/>
                <w:numId w:val="9"/>
              </w:numPr>
              <w:suppressAutoHyphens w:val="0"/>
              <w:spacing w:after="160" w:line="259" w:lineRule="auto"/>
              <w:ind w:left="364" w:hanging="283"/>
              <w:contextualSpacing/>
              <w:jc w:val="both"/>
              <w:rPr>
                <w:b/>
                <w:bCs/>
                <w:lang w:eastAsia="en-US"/>
              </w:rPr>
            </w:pPr>
            <w:r w:rsidRPr="00A36713">
              <w:rPr>
                <w:lang w:eastAsia="en-US"/>
              </w:rPr>
              <w:t>būvprojektā un būvizmaksu tāmē nav norādīts maināmo logu un durvju siltumvadītspējas koeficients.</w:t>
            </w:r>
          </w:p>
        </w:tc>
      </w:tr>
    </w:tbl>
    <w:p w14:paraId="48FF0681" w14:textId="7AA95A27" w:rsidR="0048420B" w:rsidRDefault="0048420B" w:rsidP="0048420B">
      <w:pPr>
        <w:tabs>
          <w:tab w:val="left" w:pos="426"/>
        </w:tabs>
        <w:suppressAutoHyphens w:val="0"/>
        <w:autoSpaceDE w:val="0"/>
        <w:autoSpaceDN w:val="0"/>
        <w:adjustRightInd w:val="0"/>
        <w:contextualSpacing/>
        <w:jc w:val="both"/>
        <w:rPr>
          <w:color w:val="000000"/>
        </w:rPr>
      </w:pPr>
    </w:p>
    <w:p w14:paraId="02CF683E" w14:textId="77777777" w:rsidR="005E7B53" w:rsidRPr="005E7B53" w:rsidRDefault="005E7B53" w:rsidP="005E7B53">
      <w:pPr>
        <w:numPr>
          <w:ilvl w:val="0"/>
          <w:numId w:val="11"/>
        </w:numPr>
        <w:tabs>
          <w:tab w:val="left" w:pos="426"/>
        </w:tabs>
        <w:suppressAutoHyphens w:val="0"/>
        <w:autoSpaceDE w:val="0"/>
        <w:autoSpaceDN w:val="0"/>
        <w:adjustRightInd w:val="0"/>
        <w:contextualSpacing/>
        <w:jc w:val="both"/>
        <w:rPr>
          <w:color w:val="000000"/>
        </w:rPr>
      </w:pPr>
      <w:r w:rsidRPr="005E7B53">
        <w:rPr>
          <w:color w:val="000000"/>
        </w:rPr>
        <w:t>Energosertifikāta aktualizācijā Izpildītājs primāri ņem vērā apliecinājuma kartē paredzētos risinājumus. Ja plānotie risinājumi nenodrošina projektu atlasē noteikto minimālo rādītāju sasniegšanu, Izpildītājs sniedz priekšlikumus izmaiņu veikšanai apliecinājuma kartē paredzētajos risinājumos.</w:t>
      </w:r>
    </w:p>
    <w:p w14:paraId="1FFA7B39" w14:textId="77777777" w:rsidR="005E7B53" w:rsidRPr="005E7B53" w:rsidRDefault="005E7B53" w:rsidP="005E7B53">
      <w:pPr>
        <w:numPr>
          <w:ilvl w:val="0"/>
          <w:numId w:val="11"/>
        </w:numPr>
        <w:tabs>
          <w:tab w:val="left" w:pos="426"/>
        </w:tabs>
        <w:suppressAutoHyphens w:val="0"/>
        <w:autoSpaceDE w:val="0"/>
        <w:autoSpaceDN w:val="0"/>
        <w:adjustRightInd w:val="0"/>
        <w:contextualSpacing/>
        <w:jc w:val="both"/>
      </w:pPr>
      <w:r w:rsidRPr="005E7B53">
        <w:rPr>
          <w:color w:val="000000"/>
        </w:rPr>
        <w:t xml:space="preserve">Līguma izpildes </w:t>
      </w:r>
      <w:r w:rsidRPr="005E7B53">
        <w:t>rezultātā Izpildītājs sagatavo un Pasūtītājam elektroniski iesniedz šādus dokumentus:</w:t>
      </w:r>
    </w:p>
    <w:p w14:paraId="6755FF2A" w14:textId="77777777" w:rsidR="005E7B53" w:rsidRPr="005E7B53" w:rsidRDefault="005E7B53" w:rsidP="005E7B53">
      <w:pPr>
        <w:numPr>
          <w:ilvl w:val="1"/>
          <w:numId w:val="11"/>
        </w:numPr>
        <w:suppressAutoHyphens w:val="0"/>
        <w:autoSpaceDE w:val="0"/>
        <w:autoSpaceDN w:val="0"/>
        <w:adjustRightInd w:val="0"/>
        <w:contextualSpacing/>
        <w:jc w:val="both"/>
      </w:pPr>
      <w:r w:rsidRPr="005E7B53">
        <w:t>Aktualizēts ēkas energosertifikāts, t.sk.:</w:t>
      </w:r>
    </w:p>
    <w:p w14:paraId="692AD6B5" w14:textId="77777777" w:rsidR="005E7B53" w:rsidRPr="005E7B53" w:rsidRDefault="005E7B53" w:rsidP="005E7B53">
      <w:pPr>
        <w:numPr>
          <w:ilvl w:val="2"/>
          <w:numId w:val="11"/>
        </w:numPr>
        <w:tabs>
          <w:tab w:val="left" w:pos="426"/>
        </w:tabs>
        <w:suppressAutoHyphens w:val="0"/>
        <w:contextualSpacing/>
        <w:jc w:val="both"/>
      </w:pPr>
      <w:r w:rsidRPr="005E7B53">
        <w:t>Pārskats par ekonomiski pamatotiem energoefektivitāti uzlabojošiem pasākumiem, kuru īstenošanas izmaksas ir rentablas paredzamajā (plānotajā) kalpošanas laikā;</w:t>
      </w:r>
    </w:p>
    <w:p w14:paraId="2B7BBF89" w14:textId="77777777" w:rsidR="005E7B53" w:rsidRPr="005E7B53" w:rsidRDefault="005E7B53" w:rsidP="005E7B53">
      <w:pPr>
        <w:numPr>
          <w:ilvl w:val="2"/>
          <w:numId w:val="11"/>
        </w:numPr>
        <w:tabs>
          <w:tab w:val="left" w:pos="426"/>
        </w:tabs>
        <w:suppressAutoHyphens w:val="0"/>
        <w:contextualSpacing/>
        <w:jc w:val="both"/>
      </w:pPr>
      <w:r w:rsidRPr="005E7B53">
        <w:t>Pārskats par ēkas energosertifikāta aprēķinos izmantojamām ievaddatu vērtībām (atbilstoši</w:t>
      </w:r>
      <w:r w:rsidRPr="005E7B53">
        <w:rPr>
          <w:iCs/>
        </w:rPr>
        <w:t xml:space="preserve"> atlases nolikuma 1.pielikuma </w:t>
      </w:r>
      <w:r w:rsidRPr="005E7B53">
        <w:t>7.apakšpielikumam vai brīvā formā, ja iesniegtā informācija satur vismaz tās pašas ziņas, kas norādītas šajā veidnē);</w:t>
      </w:r>
    </w:p>
    <w:p w14:paraId="456FC62F" w14:textId="77777777" w:rsidR="005E7B53" w:rsidRPr="005E7B53" w:rsidRDefault="005E7B53" w:rsidP="005E7B53">
      <w:pPr>
        <w:numPr>
          <w:ilvl w:val="2"/>
          <w:numId w:val="11"/>
        </w:numPr>
        <w:tabs>
          <w:tab w:val="left" w:pos="426"/>
        </w:tabs>
        <w:suppressAutoHyphens w:val="0"/>
        <w:contextualSpacing/>
        <w:jc w:val="both"/>
      </w:pPr>
      <w:r w:rsidRPr="005E7B53">
        <w:t>Primārās enerģijas un siltumnīcefekta gāzu emisiju novērtējums (</w:t>
      </w:r>
      <w:r w:rsidRPr="005E7B53">
        <w:rPr>
          <w:iCs/>
        </w:rPr>
        <w:t>atbilstoši atlases nolikuma 5.pielikumā norādītajai formai</w:t>
      </w:r>
      <w:r w:rsidRPr="005E7B53">
        <w:t>);</w:t>
      </w:r>
    </w:p>
    <w:p w14:paraId="6C12C3A0" w14:textId="77777777" w:rsidR="005E7B53" w:rsidRPr="005E7B53" w:rsidRDefault="005E7B53" w:rsidP="005E7B53">
      <w:pPr>
        <w:numPr>
          <w:ilvl w:val="2"/>
          <w:numId w:val="11"/>
        </w:numPr>
        <w:tabs>
          <w:tab w:val="left" w:pos="426"/>
        </w:tabs>
        <w:suppressAutoHyphens w:val="0"/>
        <w:contextualSpacing/>
        <w:jc w:val="both"/>
      </w:pPr>
      <w:r w:rsidRPr="005E7B53">
        <w:rPr>
          <w:color w:val="000000"/>
        </w:rPr>
        <w:t xml:space="preserve">Apkures sistēmas pārbaudes </w:t>
      </w:r>
      <w:r w:rsidRPr="005E7B53">
        <w:t>akts.</w:t>
      </w:r>
    </w:p>
    <w:p w14:paraId="26E7C710" w14:textId="77777777" w:rsidR="005E7B53" w:rsidRPr="005E7B53" w:rsidRDefault="005E7B53" w:rsidP="005E7B53">
      <w:pPr>
        <w:numPr>
          <w:ilvl w:val="1"/>
          <w:numId w:val="11"/>
        </w:numPr>
        <w:suppressAutoHyphens w:val="0"/>
        <w:jc w:val="both"/>
        <w:rPr>
          <w:bCs/>
        </w:rPr>
      </w:pPr>
      <w:r w:rsidRPr="005E7B53">
        <w:rPr>
          <w:bCs/>
        </w:rPr>
        <w:t>Aktualizēts ēkas pagaidu energosertifikāts.</w:t>
      </w:r>
    </w:p>
    <w:p w14:paraId="24CC870F" w14:textId="77777777" w:rsidR="005E7B53" w:rsidRPr="005E7B53" w:rsidRDefault="005E7B53" w:rsidP="005E7B53">
      <w:pPr>
        <w:numPr>
          <w:ilvl w:val="1"/>
          <w:numId w:val="11"/>
        </w:numPr>
        <w:tabs>
          <w:tab w:val="left" w:pos="426"/>
        </w:tabs>
        <w:suppressAutoHyphens w:val="0"/>
        <w:jc w:val="both"/>
        <w:rPr>
          <w:bCs/>
        </w:rPr>
      </w:pPr>
      <w:r w:rsidRPr="005E7B53">
        <w:rPr>
          <w:bCs/>
        </w:rPr>
        <w:t>Izpildītājs nodrošina augstāk minētās dokumentācijas sagatavošanu latviešu valodā.</w:t>
      </w:r>
    </w:p>
    <w:p w14:paraId="5566008C" w14:textId="77777777" w:rsidR="005E7B53" w:rsidRPr="005E7B53" w:rsidRDefault="005E7B53" w:rsidP="005E7B53">
      <w:pPr>
        <w:numPr>
          <w:ilvl w:val="0"/>
          <w:numId w:val="11"/>
        </w:numPr>
        <w:tabs>
          <w:tab w:val="left" w:pos="426"/>
        </w:tabs>
        <w:suppressAutoHyphens w:val="0"/>
        <w:jc w:val="both"/>
        <w:rPr>
          <w:bCs/>
        </w:rPr>
      </w:pPr>
      <w:r w:rsidRPr="005E7B53">
        <w:rPr>
          <w:bCs/>
        </w:rPr>
        <w:t>Gadījumā, ja Centrālā finanšu un līgumu aģentūra projektu atlases projekta vērtēšanas laikā konstatē neatbilstības aktualizētajā energosertifikātā, Izpildītājs tās novērš bez papildu samaksas Centrālās finanšu un līgumu aģentūras noteiktajā termiņā.</w:t>
      </w:r>
    </w:p>
    <w:p w14:paraId="57D45F21" w14:textId="77777777" w:rsidR="005E7B53" w:rsidRPr="005E7B53" w:rsidRDefault="005E7B53" w:rsidP="005E7B53">
      <w:pPr>
        <w:suppressAutoHyphens w:val="0"/>
        <w:autoSpaceDE w:val="0"/>
        <w:autoSpaceDN w:val="0"/>
        <w:adjustRightInd w:val="0"/>
        <w:ind w:firstLine="567"/>
        <w:jc w:val="both"/>
      </w:pPr>
    </w:p>
    <w:p w14:paraId="7D10A9CB" w14:textId="77777777" w:rsidR="005E7B53" w:rsidRPr="005E7B53" w:rsidRDefault="005E7B53" w:rsidP="005E7B53">
      <w:pPr>
        <w:suppressAutoHyphens w:val="0"/>
        <w:jc w:val="both"/>
      </w:pPr>
    </w:p>
    <w:p w14:paraId="034EC929" w14:textId="77777777" w:rsidR="005E7B53" w:rsidRPr="005E7B53" w:rsidRDefault="005E7B53" w:rsidP="005E7B53">
      <w:pPr>
        <w:suppressAutoHyphens w:val="0"/>
        <w:jc w:val="both"/>
      </w:pPr>
    </w:p>
    <w:p w14:paraId="0087D97A" w14:textId="2E06F56E" w:rsidR="005E7B53" w:rsidRPr="005E7B53" w:rsidRDefault="005E7B53" w:rsidP="00DD1383">
      <w:pPr>
        <w:suppressAutoHyphens w:val="0"/>
        <w:jc w:val="right"/>
      </w:pPr>
      <w:r w:rsidRPr="005E7B53">
        <w:t>Tehniskā specifikācija aktualizēta 1</w:t>
      </w:r>
      <w:r>
        <w:t>6</w:t>
      </w:r>
      <w:r w:rsidRPr="005E7B53">
        <w:t>.03.2023.</w:t>
      </w:r>
    </w:p>
    <w:p w14:paraId="76AEDDE8" w14:textId="77777777" w:rsidR="005E7B53" w:rsidRPr="005E7B53" w:rsidRDefault="005E7B53" w:rsidP="005E7B53">
      <w:pPr>
        <w:suppressAutoHyphens w:val="0"/>
        <w:jc w:val="both"/>
        <w:rPr>
          <w:b/>
        </w:rPr>
      </w:pPr>
    </w:p>
    <w:p w14:paraId="69352B4B" w14:textId="7FF2B1C0" w:rsidR="001A03F5" w:rsidRDefault="001A03F5" w:rsidP="001A03F5">
      <w:pPr>
        <w:tabs>
          <w:tab w:val="left" w:pos="2460"/>
        </w:tabs>
        <w:spacing w:after="160" w:line="259" w:lineRule="auto"/>
      </w:pPr>
    </w:p>
    <w:p w14:paraId="1C9A1AE6" w14:textId="5F069EAD" w:rsidR="005E7B53" w:rsidRDefault="005E7B53" w:rsidP="001A03F5">
      <w:pPr>
        <w:tabs>
          <w:tab w:val="left" w:pos="2460"/>
        </w:tabs>
        <w:spacing w:after="160" w:line="259" w:lineRule="auto"/>
      </w:pPr>
    </w:p>
    <w:p w14:paraId="1C024ABC" w14:textId="1EF9D9C1" w:rsidR="005E7B53" w:rsidRDefault="005E7B53" w:rsidP="001A03F5">
      <w:pPr>
        <w:tabs>
          <w:tab w:val="left" w:pos="2460"/>
        </w:tabs>
        <w:spacing w:after="160" w:line="259" w:lineRule="auto"/>
      </w:pPr>
    </w:p>
    <w:p w14:paraId="72237137" w14:textId="77777777" w:rsidR="005E7B53" w:rsidRDefault="005E7B53" w:rsidP="001A03F5">
      <w:pPr>
        <w:tabs>
          <w:tab w:val="left" w:pos="2460"/>
        </w:tabs>
        <w:spacing w:after="160" w:line="259" w:lineRule="auto"/>
      </w:pPr>
    </w:p>
    <w:p w14:paraId="08A32F89" w14:textId="77635F8D" w:rsidR="005E7B53" w:rsidRDefault="005E7B53" w:rsidP="001A03F5">
      <w:pPr>
        <w:tabs>
          <w:tab w:val="left" w:pos="2460"/>
        </w:tabs>
        <w:spacing w:after="160" w:line="259" w:lineRule="auto"/>
      </w:pPr>
    </w:p>
    <w:p w14:paraId="3A559AAF" w14:textId="011C0C29" w:rsidR="005E7B53" w:rsidRDefault="005E7B53" w:rsidP="001A03F5">
      <w:pPr>
        <w:tabs>
          <w:tab w:val="left" w:pos="2460"/>
        </w:tabs>
        <w:spacing w:after="160" w:line="259" w:lineRule="auto"/>
      </w:pPr>
    </w:p>
    <w:p w14:paraId="2C0B398B" w14:textId="13E9769D" w:rsidR="005E7B53" w:rsidRDefault="005E7B53" w:rsidP="001A03F5">
      <w:pPr>
        <w:tabs>
          <w:tab w:val="left" w:pos="2460"/>
        </w:tabs>
        <w:spacing w:after="160" w:line="259" w:lineRule="auto"/>
      </w:pPr>
    </w:p>
    <w:p w14:paraId="7E780F71" w14:textId="5EF55AE9" w:rsidR="00AC20A5" w:rsidRDefault="00AC20A5" w:rsidP="001A03F5">
      <w:pPr>
        <w:tabs>
          <w:tab w:val="left" w:pos="2460"/>
        </w:tabs>
        <w:spacing w:after="160" w:line="259" w:lineRule="auto"/>
      </w:pPr>
    </w:p>
    <w:p w14:paraId="05AD760A" w14:textId="6F63854E" w:rsidR="00AC20A5" w:rsidRDefault="00AC20A5" w:rsidP="001A03F5">
      <w:pPr>
        <w:tabs>
          <w:tab w:val="left" w:pos="2460"/>
        </w:tabs>
        <w:spacing w:after="160" w:line="259" w:lineRule="auto"/>
      </w:pPr>
    </w:p>
    <w:p w14:paraId="57FDFA0B" w14:textId="456E69D0" w:rsidR="004261E9" w:rsidRDefault="004261E9" w:rsidP="001A03F5">
      <w:pPr>
        <w:tabs>
          <w:tab w:val="left" w:pos="2460"/>
        </w:tabs>
        <w:spacing w:after="160" w:line="259" w:lineRule="auto"/>
      </w:pPr>
    </w:p>
    <w:p w14:paraId="37DE2708" w14:textId="77777777" w:rsidR="004261E9" w:rsidRDefault="004261E9" w:rsidP="001A03F5">
      <w:pPr>
        <w:tabs>
          <w:tab w:val="left" w:pos="2460"/>
        </w:tabs>
        <w:spacing w:after="160" w:line="259" w:lineRule="auto"/>
      </w:pPr>
    </w:p>
    <w:p w14:paraId="5726646B" w14:textId="76E7538E" w:rsidR="005E7B53" w:rsidRDefault="005E7B53" w:rsidP="001A03F5">
      <w:pPr>
        <w:tabs>
          <w:tab w:val="left" w:pos="2460"/>
        </w:tabs>
        <w:spacing w:after="160" w:line="259" w:lineRule="auto"/>
      </w:pPr>
    </w:p>
    <w:p w14:paraId="237D6400" w14:textId="1C721FC1" w:rsidR="005E7B53" w:rsidRDefault="005E7B53" w:rsidP="001A03F5">
      <w:pPr>
        <w:tabs>
          <w:tab w:val="left" w:pos="2460"/>
        </w:tabs>
        <w:spacing w:after="160" w:line="259" w:lineRule="auto"/>
      </w:pPr>
    </w:p>
    <w:p w14:paraId="17F4809B" w14:textId="77777777" w:rsidR="00860174" w:rsidRDefault="005148A7" w:rsidP="00125AC4">
      <w:pPr>
        <w:spacing w:after="160" w:line="259" w:lineRule="auto"/>
        <w:jc w:val="center"/>
        <w:rPr>
          <w:b/>
        </w:rPr>
      </w:pPr>
      <w:r>
        <w:rPr>
          <w:b/>
        </w:rPr>
        <w:lastRenderedPageBreak/>
        <w:t>PIEDĀVĀJUMA VEIDLAPA</w:t>
      </w:r>
    </w:p>
    <w:p w14:paraId="19F6786D" w14:textId="77777777" w:rsidR="00860174" w:rsidRDefault="005148A7">
      <w:pPr>
        <w:rPr>
          <w:b/>
        </w:rPr>
      </w:pPr>
      <w:r>
        <w:rPr>
          <w:b/>
        </w:rPr>
        <w:t>__.__.202</w:t>
      </w:r>
      <w:r w:rsidR="00334DD2">
        <w:rPr>
          <w:b/>
        </w:rPr>
        <w:t>3</w:t>
      </w:r>
      <w:r>
        <w:rPr>
          <w:b/>
        </w:rPr>
        <w:t xml:space="preserve">. /  Nr. </w:t>
      </w:r>
    </w:p>
    <w:p w14:paraId="1F76B754" w14:textId="77777777" w:rsidR="00860174" w:rsidRDefault="00860174">
      <w:pPr>
        <w:rPr>
          <w:b/>
        </w:rPr>
      </w:pPr>
    </w:p>
    <w:p w14:paraId="2863E12B" w14:textId="19DAB7C0" w:rsidR="00860174" w:rsidRDefault="005148A7">
      <w:pPr>
        <w:jc w:val="both"/>
        <w:rPr>
          <w:b/>
        </w:rPr>
      </w:pPr>
      <w:r>
        <w:rPr>
          <w:b/>
        </w:rPr>
        <w:tab/>
        <w:t xml:space="preserve">Pamatojoties uz saņemto uzaicinājumu, iesniedzam piedāvājumu cenu aptaujai </w:t>
      </w:r>
      <w:r>
        <w:rPr>
          <w:b/>
          <w:bCs/>
        </w:rPr>
        <w:t>“</w:t>
      </w:r>
      <w:bookmarkStart w:id="6" w:name="_Hlk129858319"/>
      <w:r w:rsidR="00432870" w:rsidRPr="00432870">
        <w:rPr>
          <w:b/>
          <w:bCs/>
          <w:i/>
          <w:iCs/>
        </w:rPr>
        <w:t>Ēkas V. Sārmes ielā 10, Limbažos energosertifikāta aktualizācija</w:t>
      </w:r>
      <w:bookmarkEnd w:id="6"/>
      <w:r>
        <w:rPr>
          <w:b/>
          <w:bCs/>
        </w:rPr>
        <w:t>”</w:t>
      </w:r>
    </w:p>
    <w:p w14:paraId="1AC1E552" w14:textId="77777777" w:rsidR="00860174" w:rsidRDefault="005148A7">
      <w:pPr>
        <w:numPr>
          <w:ilvl w:val="0"/>
          <w:numId w:val="4"/>
        </w:numPr>
        <w:spacing w:before="120" w:after="120"/>
        <w:rPr>
          <w:b/>
          <w:caps/>
        </w:rPr>
      </w:pPr>
      <w:r>
        <w:rPr>
          <w:b/>
          <w:caps/>
        </w:rPr>
        <w:t>INFORMĀCIJA PAR PRETENDENTU</w:t>
      </w:r>
    </w:p>
    <w:tbl>
      <w:tblPr>
        <w:tblW w:w="9356" w:type="dxa"/>
        <w:tblInd w:w="108" w:type="dxa"/>
        <w:tblLayout w:type="fixed"/>
        <w:tblLook w:val="00A0" w:firstRow="1" w:lastRow="0" w:firstColumn="1" w:lastColumn="0" w:noHBand="0" w:noVBand="0"/>
      </w:tblPr>
      <w:tblGrid>
        <w:gridCol w:w="3239"/>
        <w:gridCol w:w="6117"/>
      </w:tblGrid>
      <w:tr w:rsidR="00860174" w14:paraId="3F3A20FA" w14:textId="77777777">
        <w:trPr>
          <w:trHeight w:val="265"/>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B874532" w14:textId="77777777" w:rsidR="00860174" w:rsidRDefault="005148A7">
            <w:pPr>
              <w:widowControl w:val="0"/>
              <w:snapToGrid w:val="0"/>
              <w:rPr>
                <w:b/>
                <w:szCs w:val="22"/>
              </w:rPr>
            </w:pPr>
            <w:r>
              <w:rPr>
                <w:b/>
                <w:sz w:val="22"/>
                <w:szCs w:val="22"/>
              </w:rPr>
              <w:t>Pretendenta nosaukums</w:t>
            </w:r>
          </w:p>
          <w:p w14:paraId="2F7650CD" w14:textId="77777777" w:rsidR="00860174" w:rsidRDefault="005148A7">
            <w:pPr>
              <w:widowControl w:val="0"/>
              <w:snapToGrid w:val="0"/>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6906A6CE" w14:textId="77777777" w:rsidR="00860174" w:rsidRDefault="00860174">
            <w:pPr>
              <w:widowControl w:val="0"/>
              <w:snapToGrid w:val="0"/>
              <w:spacing w:before="120" w:after="120"/>
              <w:jc w:val="center"/>
              <w:rPr>
                <w:bCs/>
              </w:rPr>
            </w:pPr>
          </w:p>
        </w:tc>
      </w:tr>
      <w:tr w:rsidR="00860174" w14:paraId="120AA775"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40FDF21" w14:textId="77777777" w:rsidR="00860174" w:rsidRDefault="005148A7">
            <w:pPr>
              <w:widowControl w:val="0"/>
              <w:snapToGrid w:val="0"/>
              <w:rPr>
                <w:b/>
                <w:szCs w:val="22"/>
              </w:rPr>
            </w:pPr>
            <w:r>
              <w:rPr>
                <w:b/>
                <w:sz w:val="22"/>
                <w:szCs w:val="22"/>
              </w:rPr>
              <w:t>Reģistrācijas Nr.</w:t>
            </w:r>
          </w:p>
          <w:p w14:paraId="5FEFB354" w14:textId="77777777" w:rsidR="00860174" w:rsidRDefault="005148A7">
            <w:pPr>
              <w:widowControl w:val="0"/>
              <w:snapToGrid w:val="0"/>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09BF7C27" w14:textId="77777777" w:rsidR="00860174" w:rsidRDefault="00860174">
            <w:pPr>
              <w:widowControl w:val="0"/>
              <w:snapToGrid w:val="0"/>
              <w:spacing w:before="120" w:after="120"/>
              <w:jc w:val="center"/>
              <w:rPr>
                <w:bCs/>
              </w:rPr>
            </w:pPr>
          </w:p>
        </w:tc>
      </w:tr>
      <w:tr w:rsidR="00860174" w14:paraId="67C0349B"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DC6EB53" w14:textId="77777777" w:rsidR="00860174" w:rsidRDefault="005148A7">
            <w:pPr>
              <w:widowControl w:val="0"/>
              <w:snapToGrid w:val="0"/>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33EB55C" w14:textId="77777777" w:rsidR="00860174" w:rsidRDefault="00860174">
            <w:pPr>
              <w:widowControl w:val="0"/>
              <w:snapToGrid w:val="0"/>
              <w:spacing w:before="120" w:after="120"/>
              <w:jc w:val="center"/>
              <w:rPr>
                <w:bCs/>
                <w:lang w:val="en-GB"/>
              </w:rPr>
            </w:pPr>
          </w:p>
        </w:tc>
      </w:tr>
      <w:tr w:rsidR="00860174" w14:paraId="40E547F3" w14:textId="77777777">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3AF0243" w14:textId="77777777" w:rsidR="00860174" w:rsidRDefault="005148A7">
            <w:pPr>
              <w:widowControl w:val="0"/>
              <w:snapToGrid w:val="0"/>
              <w:spacing w:before="120" w:after="120"/>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7BF6AA04" w14:textId="77777777" w:rsidR="00860174" w:rsidRDefault="00860174">
            <w:pPr>
              <w:widowControl w:val="0"/>
              <w:snapToGrid w:val="0"/>
              <w:spacing w:before="120" w:after="120"/>
              <w:jc w:val="center"/>
              <w:rPr>
                <w:bCs/>
              </w:rPr>
            </w:pPr>
          </w:p>
        </w:tc>
      </w:tr>
      <w:tr w:rsidR="00860174" w14:paraId="5254E08E" w14:textId="77777777">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7060FB7" w14:textId="77777777" w:rsidR="00860174" w:rsidRDefault="005148A7">
            <w:pPr>
              <w:widowControl w:val="0"/>
              <w:snapToGrid w:val="0"/>
              <w:spacing w:before="120" w:after="120"/>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7E95C288" w14:textId="77777777" w:rsidR="00860174" w:rsidRDefault="00860174">
            <w:pPr>
              <w:widowControl w:val="0"/>
              <w:snapToGrid w:val="0"/>
              <w:spacing w:before="120" w:after="120"/>
              <w:jc w:val="center"/>
              <w:rPr>
                <w:bCs/>
              </w:rPr>
            </w:pPr>
          </w:p>
        </w:tc>
      </w:tr>
      <w:tr w:rsidR="00860174" w14:paraId="56EE7CEB" w14:textId="77777777">
        <w:trPr>
          <w:trHeight w:val="87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D3778E3" w14:textId="77777777" w:rsidR="00860174" w:rsidRDefault="005148A7">
            <w:pPr>
              <w:widowControl w:val="0"/>
              <w:snapToGrid w:val="0"/>
              <w:spacing w:before="120" w:after="120"/>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4255303" w14:textId="77777777" w:rsidR="00860174" w:rsidRDefault="00860174">
            <w:pPr>
              <w:widowControl w:val="0"/>
              <w:snapToGrid w:val="0"/>
              <w:spacing w:before="120" w:after="120"/>
              <w:jc w:val="center"/>
              <w:rPr>
                <w:bCs/>
              </w:rPr>
            </w:pPr>
          </w:p>
        </w:tc>
      </w:tr>
      <w:tr w:rsidR="00860174" w14:paraId="029D717A"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63B33B1" w14:textId="77777777" w:rsidR="00860174" w:rsidRDefault="005148A7">
            <w:pPr>
              <w:widowControl w:val="0"/>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83ACB7D" w14:textId="77777777" w:rsidR="00860174" w:rsidRDefault="005148A7">
            <w:pPr>
              <w:widowControl w:val="0"/>
              <w:snapToGrid w:val="0"/>
              <w:spacing w:before="120" w:after="120"/>
              <w:jc w:val="center"/>
              <w:rPr>
                <w:bCs/>
              </w:rPr>
            </w:pPr>
            <w:r>
              <w:rPr>
                <w:bCs/>
              </w:rPr>
              <w:br/>
            </w:r>
          </w:p>
        </w:tc>
      </w:tr>
      <w:tr w:rsidR="00860174" w14:paraId="325A90E6"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D16FA8F" w14:textId="77777777" w:rsidR="00860174" w:rsidRDefault="005148A7">
            <w:pPr>
              <w:widowControl w:val="0"/>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2597245B" w14:textId="77777777" w:rsidR="00860174" w:rsidRDefault="00860174">
            <w:pPr>
              <w:widowControl w:val="0"/>
              <w:snapToGrid w:val="0"/>
              <w:spacing w:before="120" w:after="120"/>
              <w:jc w:val="center"/>
              <w:rPr>
                <w:bCs/>
              </w:rPr>
            </w:pPr>
          </w:p>
        </w:tc>
      </w:tr>
      <w:tr w:rsidR="00860174" w14:paraId="48B7C018"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775993A" w14:textId="77777777" w:rsidR="00860174" w:rsidRDefault="005148A7">
            <w:pPr>
              <w:widowControl w:val="0"/>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5841F75" w14:textId="77777777" w:rsidR="00860174" w:rsidRDefault="00860174">
            <w:pPr>
              <w:widowControl w:val="0"/>
              <w:snapToGrid w:val="0"/>
              <w:spacing w:before="120" w:after="120"/>
              <w:jc w:val="center"/>
              <w:rPr>
                <w:bCs/>
              </w:rPr>
            </w:pPr>
          </w:p>
        </w:tc>
      </w:tr>
    </w:tbl>
    <w:p w14:paraId="4C512479" w14:textId="77777777" w:rsidR="00860174" w:rsidRDefault="00860174">
      <w:pPr>
        <w:jc w:val="center"/>
        <w:rPr>
          <w:b/>
        </w:rPr>
      </w:pPr>
    </w:p>
    <w:p w14:paraId="5FF101EF" w14:textId="4AAAA09A" w:rsidR="00860174" w:rsidRDefault="005148A7">
      <w:pPr>
        <w:pStyle w:val="naisnod"/>
        <w:spacing w:before="0" w:after="0"/>
        <w:jc w:val="left"/>
        <w:rPr>
          <w:b w:val="0"/>
        </w:rPr>
      </w:pPr>
      <w:r>
        <w:rPr>
          <w:b w:val="0"/>
        </w:rPr>
        <w:t>Ja piedāvājumu paraksta pilnvarotā persona, klāt pievienojama pilnvara.</w:t>
      </w:r>
    </w:p>
    <w:p w14:paraId="0EE00EE9" w14:textId="44A8C7C0" w:rsidR="0023723C" w:rsidRDefault="0023723C">
      <w:pPr>
        <w:pStyle w:val="naisnod"/>
        <w:spacing w:before="0" w:after="0"/>
        <w:jc w:val="left"/>
        <w:rPr>
          <w:b w:val="0"/>
        </w:rPr>
      </w:pPr>
    </w:p>
    <w:p w14:paraId="1A03F90E" w14:textId="25763B92" w:rsidR="0023723C" w:rsidRDefault="0023723C">
      <w:pPr>
        <w:pStyle w:val="naisnod"/>
        <w:spacing w:before="0" w:after="0"/>
        <w:jc w:val="left"/>
        <w:rPr>
          <w:b w:val="0"/>
        </w:rPr>
      </w:pPr>
    </w:p>
    <w:p w14:paraId="743944BD" w14:textId="5DC8292D" w:rsidR="0023723C" w:rsidRPr="0023723C" w:rsidRDefault="0023723C" w:rsidP="0023723C">
      <w:pPr>
        <w:suppressAutoHyphens w:val="0"/>
        <w:rPr>
          <w:b/>
          <w:bCs/>
          <w:caps/>
        </w:rPr>
      </w:pPr>
      <w:r>
        <w:rPr>
          <w:b/>
          <w:bCs/>
          <w:caps/>
        </w:rPr>
        <w:t>2.</w:t>
      </w:r>
      <w:r w:rsidRPr="0023723C">
        <w:rPr>
          <w:b/>
          <w:bCs/>
          <w:caps/>
        </w:rPr>
        <w:t>Tehniskais piedāvājums</w:t>
      </w:r>
    </w:p>
    <w:p w14:paraId="540F0750" w14:textId="77777777" w:rsidR="0023723C" w:rsidRPr="0023723C" w:rsidRDefault="0023723C" w:rsidP="0023723C">
      <w:pPr>
        <w:suppressAutoHyphens w:val="0"/>
        <w:autoSpaceDE w:val="0"/>
        <w:autoSpaceDN w:val="0"/>
        <w:adjustRightInd w:val="0"/>
        <w:jc w:val="both"/>
        <w:rPr>
          <w:rFonts w:eastAsia="Calibri"/>
          <w:bCs/>
          <w:lang w:eastAsia="en-US"/>
        </w:rPr>
      </w:pPr>
    </w:p>
    <w:p w14:paraId="5F985D41" w14:textId="2D121212" w:rsidR="0023723C" w:rsidRPr="0023723C" w:rsidRDefault="0023723C" w:rsidP="0023723C">
      <w:pPr>
        <w:suppressAutoHyphens w:val="0"/>
        <w:autoSpaceDE w:val="0"/>
        <w:autoSpaceDN w:val="0"/>
        <w:adjustRightInd w:val="0"/>
        <w:ind w:firstLine="567"/>
        <w:jc w:val="both"/>
        <w:rPr>
          <w:rFonts w:eastAsia="DejaVuSerif-Italic"/>
          <w:iCs/>
          <w:lang w:eastAsia="en-US"/>
        </w:rPr>
      </w:pPr>
      <w:r w:rsidRPr="0023723C">
        <w:rPr>
          <w:rFonts w:eastAsia="Calibri"/>
          <w:bCs/>
          <w:lang w:eastAsia="en-US"/>
        </w:rPr>
        <w:t>Apņemamies veikt ē</w:t>
      </w:r>
      <w:r w:rsidRPr="0023723C">
        <w:t xml:space="preserve">kas </w:t>
      </w:r>
      <w:r>
        <w:t>V. Sārmes ielā 10, Limbažos, Limbažu novadā</w:t>
      </w:r>
      <w:r w:rsidRPr="0023723C">
        <w:t xml:space="preserve">, energosertifikāta </w:t>
      </w:r>
      <w:r w:rsidRPr="0023723C">
        <w:rPr>
          <w:rFonts w:eastAsia="DejaVuSerif-Italic"/>
          <w:iCs/>
          <w:lang w:eastAsia="en-US"/>
        </w:rPr>
        <w:t>aktualizāciju atbilstoši cenu aptaujas “</w:t>
      </w:r>
      <w:r w:rsidRPr="0023723C">
        <w:t>Ēkas V. Sārmes ielā 10, Limbažos energosertifikāta aktualizācija</w:t>
      </w:r>
      <w:r w:rsidRPr="0023723C">
        <w:rPr>
          <w:rFonts w:eastAsia="DejaVuSerif-Italic"/>
          <w:iCs/>
          <w:lang w:eastAsia="en-US"/>
        </w:rPr>
        <w:t xml:space="preserve">” </w:t>
      </w:r>
      <w:r w:rsidR="00E9134D">
        <w:rPr>
          <w:rFonts w:eastAsia="DejaVuSerif-Italic"/>
          <w:iCs/>
          <w:lang w:eastAsia="en-US"/>
        </w:rPr>
        <w:t>t</w:t>
      </w:r>
      <w:r w:rsidRPr="0023723C">
        <w:rPr>
          <w:rFonts w:eastAsia="DejaVuSerif-Italic"/>
          <w:iCs/>
          <w:lang w:eastAsia="en-US"/>
        </w:rPr>
        <w:t>ehniskajai specifikācijai.</w:t>
      </w:r>
    </w:p>
    <w:p w14:paraId="43D80D55" w14:textId="52843FAF" w:rsidR="0023723C" w:rsidRDefault="0023723C">
      <w:pPr>
        <w:pStyle w:val="naisnod"/>
        <w:spacing w:before="0" w:after="0"/>
        <w:jc w:val="left"/>
        <w:rPr>
          <w:b w:val="0"/>
        </w:rPr>
      </w:pPr>
    </w:p>
    <w:p w14:paraId="37150A46" w14:textId="27684A52" w:rsidR="00860174" w:rsidRDefault="0023723C" w:rsidP="0023723C">
      <w:pPr>
        <w:pStyle w:val="naisnod"/>
        <w:spacing w:before="0" w:after="0"/>
        <w:jc w:val="left"/>
        <w:rPr>
          <w:sz w:val="26"/>
          <w:szCs w:val="26"/>
        </w:rPr>
      </w:pPr>
      <w:r>
        <w:t>3.</w:t>
      </w:r>
      <w:r w:rsidR="005148A7">
        <w:t>FINANŠU PIEDĀVĀJUMS</w:t>
      </w:r>
    </w:p>
    <w:tbl>
      <w:tblPr>
        <w:tblW w:w="9422" w:type="dxa"/>
        <w:tblInd w:w="93" w:type="dxa"/>
        <w:tblLayout w:type="fixed"/>
        <w:tblLook w:val="0000" w:firstRow="0" w:lastRow="0" w:firstColumn="0" w:lastColumn="0" w:noHBand="0" w:noVBand="0"/>
      </w:tblPr>
      <w:tblGrid>
        <w:gridCol w:w="895"/>
        <w:gridCol w:w="6252"/>
        <w:gridCol w:w="2275"/>
      </w:tblGrid>
      <w:tr w:rsidR="00432870" w14:paraId="40C3C320" w14:textId="77777777" w:rsidTr="00485C71">
        <w:trPr>
          <w:trHeight w:val="728"/>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F513" w14:textId="77777777" w:rsidR="00432870" w:rsidRDefault="00432870">
            <w:pPr>
              <w:widowControl w:val="0"/>
              <w:jc w:val="center"/>
              <w:rPr>
                <w:sz w:val="22"/>
                <w:szCs w:val="22"/>
              </w:rPr>
            </w:pPr>
            <w:r>
              <w:rPr>
                <w:sz w:val="22"/>
                <w:szCs w:val="22"/>
              </w:rPr>
              <w:t>N.p.k.</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A4FB" w14:textId="77777777" w:rsidR="00432870" w:rsidRDefault="00432870">
            <w:pPr>
              <w:widowControl w:val="0"/>
              <w:jc w:val="center"/>
              <w:rPr>
                <w:sz w:val="22"/>
                <w:szCs w:val="22"/>
              </w:rPr>
            </w:pPr>
            <w:r>
              <w:rPr>
                <w:sz w:val="22"/>
                <w:szCs w:val="22"/>
              </w:rPr>
              <w:t>Nosaukums</w:t>
            </w:r>
          </w:p>
        </w:tc>
        <w:tc>
          <w:tcPr>
            <w:tcW w:w="2275" w:type="dxa"/>
            <w:tcBorders>
              <w:top w:val="single" w:sz="4" w:space="0" w:color="000000"/>
              <w:left w:val="single" w:sz="4" w:space="0" w:color="000000"/>
              <w:bottom w:val="single" w:sz="4" w:space="0" w:color="000000"/>
              <w:right w:val="single" w:sz="4" w:space="0" w:color="000000"/>
            </w:tcBorders>
            <w:vAlign w:val="center"/>
          </w:tcPr>
          <w:p w14:paraId="7042765D" w14:textId="4F9A855D" w:rsidR="00432870" w:rsidRDefault="00432870">
            <w:pPr>
              <w:widowControl w:val="0"/>
              <w:jc w:val="center"/>
              <w:rPr>
                <w:sz w:val="22"/>
                <w:szCs w:val="22"/>
              </w:rPr>
            </w:pPr>
            <w:r>
              <w:rPr>
                <w:sz w:val="22"/>
                <w:szCs w:val="22"/>
              </w:rPr>
              <w:t>Cena, EUR bez PVN</w:t>
            </w:r>
          </w:p>
        </w:tc>
      </w:tr>
      <w:tr w:rsidR="00432870" w14:paraId="10CC655F" w14:textId="77777777" w:rsidTr="00485C71">
        <w:trPr>
          <w:trHeight w:val="446"/>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677C" w14:textId="77777777" w:rsidR="00432870" w:rsidRDefault="00432870">
            <w:pPr>
              <w:widowControl w:val="0"/>
              <w:jc w:val="center"/>
              <w:rPr>
                <w:sz w:val="22"/>
                <w:szCs w:val="22"/>
              </w:rPr>
            </w:pPr>
            <w:r>
              <w:rPr>
                <w:sz w:val="22"/>
                <w:szCs w:val="22"/>
              </w:rPr>
              <w:t>1.</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BD71D" w14:textId="01407DB9" w:rsidR="00432870" w:rsidRDefault="00432870">
            <w:pPr>
              <w:widowControl w:val="0"/>
            </w:pPr>
            <w:r w:rsidRPr="00432870">
              <w:t>Ēkas V. Sārmes ielā 10, Limbažos energosertifikāta aktualizācija</w:t>
            </w:r>
          </w:p>
        </w:tc>
        <w:tc>
          <w:tcPr>
            <w:tcW w:w="2275" w:type="dxa"/>
            <w:tcBorders>
              <w:top w:val="single" w:sz="4" w:space="0" w:color="000000"/>
              <w:left w:val="single" w:sz="4" w:space="0" w:color="000000"/>
              <w:bottom w:val="single" w:sz="4" w:space="0" w:color="000000"/>
              <w:right w:val="single" w:sz="4" w:space="0" w:color="000000"/>
            </w:tcBorders>
            <w:vAlign w:val="center"/>
          </w:tcPr>
          <w:p w14:paraId="68333D87" w14:textId="77777777" w:rsidR="00432870" w:rsidRDefault="00432870">
            <w:pPr>
              <w:pStyle w:val="Bezatstarpm"/>
              <w:widowControl w:val="0"/>
              <w:jc w:val="center"/>
            </w:pPr>
          </w:p>
        </w:tc>
      </w:tr>
      <w:tr w:rsidR="00432870" w14:paraId="4D09D28C" w14:textId="77777777" w:rsidTr="00B84547">
        <w:trPr>
          <w:trHeight w:val="446"/>
        </w:trPr>
        <w:tc>
          <w:tcPr>
            <w:tcW w:w="71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994ED8" w14:textId="59C4E514" w:rsidR="00432870" w:rsidRPr="00432870" w:rsidRDefault="00432870" w:rsidP="00432870">
            <w:pPr>
              <w:widowControl w:val="0"/>
              <w:jc w:val="right"/>
            </w:pPr>
            <w:r>
              <w:rPr>
                <w:sz w:val="22"/>
                <w:szCs w:val="22"/>
              </w:rPr>
              <w:t>PVN:</w:t>
            </w:r>
          </w:p>
        </w:tc>
        <w:tc>
          <w:tcPr>
            <w:tcW w:w="2275" w:type="dxa"/>
            <w:tcBorders>
              <w:top w:val="single" w:sz="4" w:space="0" w:color="000000"/>
              <w:left w:val="single" w:sz="4" w:space="0" w:color="000000"/>
              <w:bottom w:val="single" w:sz="4" w:space="0" w:color="000000"/>
              <w:right w:val="single" w:sz="4" w:space="0" w:color="000000"/>
            </w:tcBorders>
            <w:vAlign w:val="center"/>
          </w:tcPr>
          <w:p w14:paraId="1D72829F" w14:textId="77777777" w:rsidR="00432870" w:rsidRDefault="00432870" w:rsidP="00432870">
            <w:pPr>
              <w:pStyle w:val="Bezatstarpm"/>
              <w:widowControl w:val="0"/>
              <w:jc w:val="center"/>
            </w:pPr>
          </w:p>
        </w:tc>
      </w:tr>
      <w:tr w:rsidR="00432870" w14:paraId="4D06C385" w14:textId="77777777" w:rsidTr="00B84547">
        <w:trPr>
          <w:trHeight w:val="446"/>
        </w:trPr>
        <w:tc>
          <w:tcPr>
            <w:tcW w:w="71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0905DF" w14:textId="6E566148" w:rsidR="00432870" w:rsidRPr="00432870" w:rsidRDefault="00432870" w:rsidP="00432870">
            <w:pPr>
              <w:widowControl w:val="0"/>
              <w:jc w:val="right"/>
            </w:pPr>
            <w:r>
              <w:rPr>
                <w:sz w:val="22"/>
                <w:szCs w:val="22"/>
              </w:rPr>
              <w:t>Cena a</w:t>
            </w:r>
            <w:r w:rsidR="00660EDD">
              <w:rPr>
                <w:sz w:val="22"/>
                <w:szCs w:val="22"/>
              </w:rPr>
              <w:t>r</w:t>
            </w:r>
            <w:r>
              <w:rPr>
                <w:sz w:val="22"/>
                <w:szCs w:val="22"/>
              </w:rPr>
              <w:t xml:space="preserve"> PVN:</w:t>
            </w:r>
          </w:p>
        </w:tc>
        <w:tc>
          <w:tcPr>
            <w:tcW w:w="2275" w:type="dxa"/>
            <w:tcBorders>
              <w:top w:val="single" w:sz="4" w:space="0" w:color="000000"/>
              <w:left w:val="single" w:sz="4" w:space="0" w:color="000000"/>
              <w:bottom w:val="single" w:sz="4" w:space="0" w:color="000000"/>
              <w:right w:val="single" w:sz="4" w:space="0" w:color="000000"/>
            </w:tcBorders>
            <w:vAlign w:val="center"/>
          </w:tcPr>
          <w:p w14:paraId="2F32DAF5" w14:textId="77777777" w:rsidR="00432870" w:rsidRDefault="00432870" w:rsidP="00432870">
            <w:pPr>
              <w:pStyle w:val="Bezatstarpm"/>
              <w:widowControl w:val="0"/>
              <w:jc w:val="center"/>
            </w:pPr>
          </w:p>
        </w:tc>
      </w:tr>
    </w:tbl>
    <w:p w14:paraId="4A6A8208" w14:textId="77777777" w:rsidR="00432870" w:rsidRDefault="00432870">
      <w:pPr>
        <w:rPr>
          <w:sz w:val="22"/>
          <w:szCs w:val="22"/>
        </w:rPr>
      </w:pPr>
    </w:p>
    <w:p w14:paraId="10FB9138" w14:textId="77777777" w:rsidR="00860174" w:rsidRDefault="00860174">
      <w:pPr>
        <w:ind w:left="360" w:hanging="360"/>
      </w:pPr>
    </w:p>
    <w:p w14:paraId="1DFEC80B" w14:textId="77777777" w:rsidR="00860174" w:rsidRDefault="005148A7">
      <w:pPr>
        <w:ind w:left="360" w:hanging="360"/>
      </w:pPr>
      <w:r>
        <w:t>Pretendenta pārstāvja vai pilnvarotās personas paraksts ________________________________</w:t>
      </w:r>
    </w:p>
    <w:p w14:paraId="524D1866" w14:textId="77777777" w:rsidR="00860174" w:rsidRDefault="005148A7">
      <w:r>
        <w:t xml:space="preserve">Pretendenta pārstāvja vai pilnvarotās personas vārds, uzvārds, amats </w:t>
      </w:r>
    </w:p>
    <w:p w14:paraId="72ADE90D" w14:textId="77777777" w:rsidR="006E4B2B" w:rsidRDefault="006E4B2B"/>
    <w:p w14:paraId="7CAE8043" w14:textId="77777777" w:rsidR="006E4B2B" w:rsidRDefault="006E4B2B"/>
    <w:p w14:paraId="4D7B916F" w14:textId="77777777" w:rsidR="006E4B2B" w:rsidRDefault="006E4B2B" w:rsidP="006E4B2B">
      <w:pPr>
        <w:pStyle w:val="naisnod"/>
        <w:spacing w:before="0" w:after="0"/>
        <w:jc w:val="left"/>
        <w:rPr>
          <w:sz w:val="20"/>
          <w:szCs w:val="20"/>
        </w:rPr>
      </w:pPr>
    </w:p>
    <w:p w14:paraId="18873C59" w14:textId="77777777" w:rsidR="006E4B2B" w:rsidRDefault="006E4B2B" w:rsidP="006E4B2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722E0D3" w14:textId="77777777" w:rsidR="006E4B2B" w:rsidRDefault="006E4B2B"/>
    <w:sectPr w:rsidR="006E4B2B">
      <w:headerReference w:type="default" r:id="rId12"/>
      <w:footerReference w:type="default" r:id="rId13"/>
      <w:pgSz w:w="11906" w:h="16838"/>
      <w:pgMar w:top="1134" w:right="567" w:bottom="766" w:left="1276"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4E7F" w14:textId="77777777" w:rsidR="006F3D4D" w:rsidRDefault="006F3D4D">
      <w:r>
        <w:separator/>
      </w:r>
    </w:p>
  </w:endnote>
  <w:endnote w:type="continuationSeparator" w:id="0">
    <w:p w14:paraId="4B451B16" w14:textId="77777777" w:rsidR="006F3D4D" w:rsidRDefault="006F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1"/>
    <w:family w:val="roman"/>
    <w:pitch w:val="default"/>
  </w:font>
  <w:font w:name="Swiss TL">
    <w:altName w:val="Arial"/>
    <w:charset w:val="BA"/>
    <w:family w:val="swiss"/>
    <w:pitch w:val="variable"/>
    <w:sig w:usb0="00000001" w:usb1="5000204A" w:usb2="00000000" w:usb3="00000000" w:csb0="0000009F" w:csb1="00000000"/>
  </w:font>
  <w:font w:name="DejaVuSerif-Italic">
    <w:altName w:val="MS Gothic"/>
    <w:panose1 w:val="00000000000000000000"/>
    <w:charset w:val="80"/>
    <w:family w:val="auto"/>
    <w:notTrueType/>
    <w:pitch w:val="default"/>
    <w:sig w:usb0="00000000" w:usb1="08070000" w:usb2="00000010" w:usb3="00000000" w:csb0="00020000"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27761"/>
      <w:docPartObj>
        <w:docPartGallery w:val="Page Numbers (Bottom of Page)"/>
        <w:docPartUnique/>
      </w:docPartObj>
    </w:sdtPr>
    <w:sdtContent>
      <w:p w14:paraId="71F0B5CE" w14:textId="77777777" w:rsidR="00860174" w:rsidRDefault="005148A7">
        <w:pPr>
          <w:pStyle w:val="Kjene"/>
          <w:jc w:val="center"/>
        </w:pPr>
        <w:r>
          <w:fldChar w:fldCharType="begin"/>
        </w:r>
        <w:r>
          <w:instrText xml:space="preserve"> PAGE </w:instrText>
        </w:r>
        <w:r>
          <w:fldChar w:fldCharType="separate"/>
        </w:r>
        <w:r w:rsidR="001A03F5">
          <w:rPr>
            <w:noProof/>
          </w:rPr>
          <w:t>2</w:t>
        </w:r>
        <w:r>
          <w:fldChar w:fldCharType="end"/>
        </w:r>
      </w:p>
    </w:sdtContent>
  </w:sdt>
  <w:p w14:paraId="3A7B897C" w14:textId="77777777" w:rsidR="00860174" w:rsidRDefault="0086017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3ED2" w14:textId="77777777" w:rsidR="006F3D4D" w:rsidRDefault="006F3D4D">
      <w:r>
        <w:separator/>
      </w:r>
    </w:p>
  </w:footnote>
  <w:footnote w:type="continuationSeparator" w:id="0">
    <w:p w14:paraId="5F4AA9C2" w14:textId="77777777" w:rsidR="006F3D4D" w:rsidRDefault="006F3D4D">
      <w:r>
        <w:continuationSeparator/>
      </w:r>
    </w:p>
  </w:footnote>
  <w:footnote w:id="1">
    <w:p w14:paraId="35CB4896" w14:textId="77777777" w:rsidR="0048420B" w:rsidRPr="004D1491" w:rsidRDefault="0048420B" w:rsidP="0048420B">
      <w:pPr>
        <w:pStyle w:val="Vresteksts"/>
        <w:jc w:val="both"/>
      </w:pPr>
      <w:r>
        <w:rPr>
          <w:rStyle w:val="Vresatsauce"/>
        </w:rPr>
        <w:footnoteRef/>
      </w:r>
      <w:r>
        <w:t xml:space="preserve"> </w:t>
      </w:r>
      <w:r w:rsidRPr="004D1491">
        <w:t>Ministru kabineta 2016.gada 8.marta noteikumi Nr.152 “Darbības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13.1.3.1.pasākuma “Energoefektivitātes paaugstināšana pašvaldību infrastruktūrā ekonomiskās situācijas uzlabošanai” īstenošanas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07201"/>
      <w:docPartObj>
        <w:docPartGallery w:val="Page Numbers (Top of Page)"/>
        <w:docPartUnique/>
      </w:docPartObj>
    </w:sdtPr>
    <w:sdtContent>
      <w:p w14:paraId="6271EC81" w14:textId="77777777" w:rsidR="00860174" w:rsidRDefault="00000000">
        <w:pPr>
          <w:pStyle w:val="Galvene"/>
          <w:jc w:val="center"/>
        </w:pPr>
      </w:p>
    </w:sdtContent>
  </w:sdt>
  <w:p w14:paraId="478AFF88" w14:textId="77777777" w:rsidR="00860174" w:rsidRDefault="0086017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B7161D4"/>
    <w:multiLevelType w:val="multilevel"/>
    <w:tmpl w:val="9778475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D85B66"/>
    <w:multiLevelType w:val="multilevel"/>
    <w:tmpl w:val="4DDECD8E"/>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1D725468"/>
    <w:multiLevelType w:val="multilevel"/>
    <w:tmpl w:val="D28256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8256C7"/>
    <w:multiLevelType w:val="hybridMultilevel"/>
    <w:tmpl w:val="31AE3DAC"/>
    <w:lvl w:ilvl="0" w:tplc="E1EEF798">
      <w:start w:val="1"/>
      <w:numFmt w:val="lowerLetter"/>
      <w:lvlText w:val="%1)"/>
      <w:lvlJc w:val="left"/>
      <w:pPr>
        <w:ind w:left="677" w:hanging="360"/>
      </w:pPr>
      <w:rPr>
        <w:rFonts w:hint="default"/>
      </w:r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6" w15:restartNumberingAfterBreak="0">
    <w:nsid w:val="3F0741F8"/>
    <w:multiLevelType w:val="hybridMultilevel"/>
    <w:tmpl w:val="19D6A3A4"/>
    <w:lvl w:ilvl="0" w:tplc="71DCA260">
      <w:start w:val="1"/>
      <w:numFmt w:val="decimal"/>
      <w:lvlText w:val="%1)"/>
      <w:lvlJc w:val="left"/>
      <w:pPr>
        <w:ind w:left="720" w:hanging="360"/>
      </w:pPr>
      <w:rPr>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C7075DC"/>
    <w:multiLevelType w:val="multilevel"/>
    <w:tmpl w:val="8C087E6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5D414835"/>
    <w:multiLevelType w:val="multilevel"/>
    <w:tmpl w:val="E89897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8386839"/>
    <w:multiLevelType w:val="multilevel"/>
    <w:tmpl w:val="52FC264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6FB530BF"/>
    <w:multiLevelType w:val="multilevel"/>
    <w:tmpl w:val="B5261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F8B4D23"/>
    <w:multiLevelType w:val="hybridMultilevel"/>
    <w:tmpl w:val="5BF41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54788642">
    <w:abstractNumId w:val="3"/>
  </w:num>
  <w:num w:numId="2" w16cid:durableId="1194146534">
    <w:abstractNumId w:val="2"/>
  </w:num>
  <w:num w:numId="3" w16cid:durableId="857620776">
    <w:abstractNumId w:val="1"/>
  </w:num>
  <w:num w:numId="4" w16cid:durableId="2080323397">
    <w:abstractNumId w:val="9"/>
  </w:num>
  <w:num w:numId="5" w16cid:durableId="1231038006">
    <w:abstractNumId w:val="10"/>
  </w:num>
  <w:num w:numId="6" w16cid:durableId="1762141677">
    <w:abstractNumId w:val="0"/>
  </w:num>
  <w:num w:numId="7" w16cid:durableId="1729769102">
    <w:abstractNumId w:val="8"/>
  </w:num>
  <w:num w:numId="8" w16cid:durableId="964040169">
    <w:abstractNumId w:val="5"/>
  </w:num>
  <w:num w:numId="9" w16cid:durableId="1157384431">
    <w:abstractNumId w:val="6"/>
  </w:num>
  <w:num w:numId="10" w16cid:durableId="1758862748">
    <w:abstractNumId w:val="11"/>
  </w:num>
  <w:num w:numId="11" w16cid:durableId="402795534">
    <w:abstractNumId w:val="7"/>
  </w:num>
  <w:num w:numId="12" w16cid:durableId="1000624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74"/>
    <w:rsid w:val="0007476D"/>
    <w:rsid w:val="00094D6F"/>
    <w:rsid w:val="000A6A42"/>
    <w:rsid w:val="000B703F"/>
    <w:rsid w:val="000C5A21"/>
    <w:rsid w:val="000D3281"/>
    <w:rsid w:val="000D4B3C"/>
    <w:rsid w:val="00111F3A"/>
    <w:rsid w:val="00125AC4"/>
    <w:rsid w:val="001408B2"/>
    <w:rsid w:val="001809F1"/>
    <w:rsid w:val="00186CDE"/>
    <w:rsid w:val="00197DF8"/>
    <w:rsid w:val="001A03F5"/>
    <w:rsid w:val="001F2081"/>
    <w:rsid w:val="00234F9D"/>
    <w:rsid w:val="0023723C"/>
    <w:rsid w:val="002402C2"/>
    <w:rsid w:val="002437C8"/>
    <w:rsid w:val="002502D2"/>
    <w:rsid w:val="00271801"/>
    <w:rsid w:val="002D1AB4"/>
    <w:rsid w:val="002F164F"/>
    <w:rsid w:val="00334DD2"/>
    <w:rsid w:val="00335039"/>
    <w:rsid w:val="0035478D"/>
    <w:rsid w:val="003965AA"/>
    <w:rsid w:val="003B1CAB"/>
    <w:rsid w:val="003C6D5D"/>
    <w:rsid w:val="003E7664"/>
    <w:rsid w:val="004261E9"/>
    <w:rsid w:val="00432870"/>
    <w:rsid w:val="0048420B"/>
    <w:rsid w:val="00485C71"/>
    <w:rsid w:val="004A3C9E"/>
    <w:rsid w:val="004C39E0"/>
    <w:rsid w:val="004D1D50"/>
    <w:rsid w:val="004D20D7"/>
    <w:rsid w:val="004E2981"/>
    <w:rsid w:val="004E568E"/>
    <w:rsid w:val="004E64B6"/>
    <w:rsid w:val="005148A7"/>
    <w:rsid w:val="005510DA"/>
    <w:rsid w:val="00563B99"/>
    <w:rsid w:val="00585F57"/>
    <w:rsid w:val="005A6F8E"/>
    <w:rsid w:val="005B1A21"/>
    <w:rsid w:val="005E7B53"/>
    <w:rsid w:val="006257FC"/>
    <w:rsid w:val="00651A33"/>
    <w:rsid w:val="00660EDD"/>
    <w:rsid w:val="00666AD0"/>
    <w:rsid w:val="00673F63"/>
    <w:rsid w:val="006B515C"/>
    <w:rsid w:val="006C0610"/>
    <w:rsid w:val="006C0D2C"/>
    <w:rsid w:val="006E4B2B"/>
    <w:rsid w:val="006F3D4D"/>
    <w:rsid w:val="00706A54"/>
    <w:rsid w:val="00725387"/>
    <w:rsid w:val="007533D8"/>
    <w:rsid w:val="007929D3"/>
    <w:rsid w:val="007B395B"/>
    <w:rsid w:val="007C6A28"/>
    <w:rsid w:val="008016F3"/>
    <w:rsid w:val="00821154"/>
    <w:rsid w:val="008217F3"/>
    <w:rsid w:val="00837BA3"/>
    <w:rsid w:val="00837C07"/>
    <w:rsid w:val="00860174"/>
    <w:rsid w:val="008966DE"/>
    <w:rsid w:val="008D1370"/>
    <w:rsid w:val="009509E0"/>
    <w:rsid w:val="00956EBF"/>
    <w:rsid w:val="00A36713"/>
    <w:rsid w:val="00A50410"/>
    <w:rsid w:val="00A95C04"/>
    <w:rsid w:val="00AC20A5"/>
    <w:rsid w:val="00B248FA"/>
    <w:rsid w:val="00B347E6"/>
    <w:rsid w:val="00B84547"/>
    <w:rsid w:val="00B96A1F"/>
    <w:rsid w:val="00BC1B08"/>
    <w:rsid w:val="00BC6059"/>
    <w:rsid w:val="00C1448D"/>
    <w:rsid w:val="00C153BB"/>
    <w:rsid w:val="00C6681E"/>
    <w:rsid w:val="00C7315C"/>
    <w:rsid w:val="00C81F89"/>
    <w:rsid w:val="00C86D95"/>
    <w:rsid w:val="00C87C73"/>
    <w:rsid w:val="00CB4C4D"/>
    <w:rsid w:val="00CC57F0"/>
    <w:rsid w:val="00CE05EB"/>
    <w:rsid w:val="00CF1EB8"/>
    <w:rsid w:val="00D41297"/>
    <w:rsid w:val="00D556B9"/>
    <w:rsid w:val="00DC482E"/>
    <w:rsid w:val="00DC66D0"/>
    <w:rsid w:val="00DD1383"/>
    <w:rsid w:val="00E225ED"/>
    <w:rsid w:val="00E24F80"/>
    <w:rsid w:val="00E31190"/>
    <w:rsid w:val="00E82A8F"/>
    <w:rsid w:val="00E90A7A"/>
    <w:rsid w:val="00E9134D"/>
    <w:rsid w:val="00F90B04"/>
    <w:rsid w:val="00FE35B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6346"/>
  <w15:docId w15:val="{FB5A9EBD-819E-471F-8236-0B3F8E9E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A57"/>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1"/>
    <w:qFormat/>
    <w:rsid w:val="00DC482E"/>
    <w:pPr>
      <w:widowControl w:val="0"/>
      <w:suppressAutoHyphens w:val="0"/>
      <w:autoSpaceDE w:val="0"/>
      <w:autoSpaceDN w:val="0"/>
      <w:spacing w:before="100"/>
      <w:ind w:left="5695"/>
      <w:outlineLvl w:val="0"/>
    </w:pPr>
    <w:rPr>
      <w:rFonts w:ascii="Arial" w:eastAsia="Arial" w:hAnsi="Arial" w:cs="Arial"/>
      <w:b/>
      <w:bCs/>
      <w:sz w:val="20"/>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character" w:customStyle="1" w:styleId="UnresolvedMention1">
    <w:name w:val="Unresolved Mention1"/>
    <w:basedOn w:val="Noklusjumarindkopasfonts"/>
    <w:uiPriority w:val="99"/>
    <w:semiHidden/>
    <w:unhideWhenUsed/>
    <w:qFormat/>
    <w:rsid w:val="00D63EE9"/>
    <w:rPr>
      <w:color w:val="605E5C"/>
      <w:shd w:val="clear" w:color="auto" w:fill="E1DFDD"/>
    </w:rPr>
  </w:style>
  <w:style w:type="character" w:customStyle="1" w:styleId="KjeneRakstz">
    <w:name w:val="Kājene Rakstz."/>
    <w:basedOn w:val="Noklusjumarindkopasfonts"/>
    <w:link w:val="Kjene"/>
    <w:uiPriority w:val="99"/>
    <w:qFormat/>
    <w:rsid w:val="001E0599"/>
    <w:rPr>
      <w:rFonts w:ascii="Times New Roman" w:eastAsia="Times New Roman" w:hAnsi="Times New Roman" w:cs="Times New Roman"/>
      <w:sz w:val="24"/>
      <w:szCs w:val="24"/>
      <w:lang w:eastAsia="lv-LV"/>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Kjene">
    <w:name w:val="footer"/>
    <w:basedOn w:val="Parasts"/>
    <w:link w:val="KjeneRakstz"/>
    <w:uiPriority w:val="99"/>
    <w:unhideWhenUsed/>
    <w:rsid w:val="001E0599"/>
    <w:pPr>
      <w:tabs>
        <w:tab w:val="center" w:pos="4153"/>
        <w:tab w:val="right" w:pos="8306"/>
      </w:tabs>
    </w:p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paragraph" w:customStyle="1" w:styleId="Saturardtjs">
    <w:name w:val="Satura rādītājs"/>
    <w:basedOn w:val="Parasts"/>
    <w:qFormat/>
    <w:pPr>
      <w:widowControl w:val="0"/>
      <w:suppressLineNumbers/>
    </w:pPr>
  </w:style>
  <w:style w:type="paragraph" w:styleId="Bezatstarpm">
    <w:name w:val="No Spacing"/>
    <w:uiPriority w:val="1"/>
    <w:qFormat/>
    <w:rsid w:val="008C1280"/>
    <w:rPr>
      <w:rFonts w:ascii="Times New Roman" w:eastAsia="Times New Roman" w:hAnsi="Times New Roman" w:cs="Times New Roman"/>
      <w:sz w:val="24"/>
      <w:szCs w:val="24"/>
      <w:lang w:eastAsia="lv-LV"/>
    </w:r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44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A0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1"/>
    <w:rsid w:val="00DC482E"/>
    <w:rPr>
      <w:rFonts w:ascii="Arial" w:eastAsia="Arial" w:hAnsi="Arial" w:cs="Arial"/>
      <w:b/>
      <w:bCs/>
      <w:sz w:val="20"/>
      <w:szCs w:val="20"/>
    </w:rPr>
  </w:style>
  <w:style w:type="character" w:customStyle="1" w:styleId="Noklusjumarindkopasfonts2">
    <w:name w:val="Noklusējuma rindkopas fonts2"/>
    <w:rsid w:val="006E4B2B"/>
  </w:style>
  <w:style w:type="paragraph" w:customStyle="1" w:styleId="Parasts2">
    <w:name w:val="Parasts2"/>
    <w:rsid w:val="006E4B2B"/>
    <w:pPr>
      <w:autoSpaceDN w:val="0"/>
      <w:textAlignment w:val="baseline"/>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E24F80"/>
    <w:rPr>
      <w:color w:val="605E5C"/>
      <w:shd w:val="clear" w:color="auto" w:fill="E1DFDD"/>
    </w:rPr>
  </w:style>
  <w:style w:type="paragraph" w:customStyle="1" w:styleId="Sarakstarindkopa1">
    <w:name w:val="Saraksta rindkopa1"/>
    <w:basedOn w:val="Parasts"/>
    <w:rsid w:val="008966DE"/>
    <w:pPr>
      <w:ind w:left="720"/>
    </w:pPr>
    <w:rPr>
      <w:lang w:eastAsia="ar-SA"/>
    </w:rPr>
  </w:style>
  <w:style w:type="table" w:customStyle="1" w:styleId="TableGrid">
    <w:name w:val="TableGrid"/>
    <w:rsid w:val="001F2081"/>
    <w:pPr>
      <w:suppressAutoHyphens w:val="0"/>
    </w:pPr>
    <w:rPr>
      <w:rFonts w:eastAsia="Times New Roman"/>
      <w:lang w:eastAsia="lv-LV"/>
    </w:rPr>
    <w:tblPr>
      <w:tblCellMar>
        <w:top w:w="0" w:type="dxa"/>
        <w:left w:w="0" w:type="dxa"/>
        <w:bottom w:w="0" w:type="dxa"/>
        <w:right w:w="0" w:type="dxa"/>
      </w:tblCellMar>
    </w:tblPr>
  </w:style>
  <w:style w:type="paragraph" w:styleId="Vresteksts">
    <w:name w:val="footnote text"/>
    <w:basedOn w:val="Parasts"/>
    <w:link w:val="VrestekstsRakstz"/>
    <w:uiPriority w:val="99"/>
    <w:semiHidden/>
    <w:unhideWhenUsed/>
    <w:rsid w:val="00A36713"/>
    <w:pPr>
      <w:suppressAutoHyphens w:val="0"/>
    </w:pPr>
    <w:rPr>
      <w:rFonts w:ascii="Calibri" w:eastAsia="Calibri" w:hAnsi="Calibri"/>
      <w:sz w:val="20"/>
      <w:szCs w:val="20"/>
      <w:lang w:eastAsia="en-US"/>
    </w:rPr>
  </w:style>
  <w:style w:type="character" w:customStyle="1" w:styleId="VrestekstsRakstz">
    <w:name w:val="Vēres teksts Rakstz."/>
    <w:basedOn w:val="Noklusjumarindkopasfonts"/>
    <w:link w:val="Vresteksts"/>
    <w:uiPriority w:val="99"/>
    <w:semiHidden/>
    <w:rsid w:val="00A36713"/>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
    <w:basedOn w:val="Noklusjumarindkopasfonts"/>
    <w:link w:val="CharCharCharChar"/>
    <w:qFormat/>
    <w:rsid w:val="00A36713"/>
    <w:rPr>
      <w:vertAlign w:val="superscript"/>
    </w:rPr>
  </w:style>
  <w:style w:type="paragraph" w:customStyle="1" w:styleId="CharCharCharChar">
    <w:name w:val="Char Char Char Char"/>
    <w:aliases w:val="Char2"/>
    <w:basedOn w:val="Parasts"/>
    <w:next w:val="Parasts"/>
    <w:link w:val="Vresatsauce"/>
    <w:rsid w:val="00A36713"/>
    <w:pPr>
      <w:suppressAutoHyphens w:val="0"/>
      <w:spacing w:after="160" w:line="240" w:lineRule="exact"/>
      <w:jc w:val="both"/>
      <w:textAlignment w:val="baseline"/>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0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ieleja@limbazunovad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fla.gov.lv/lv/1213i-pasvaldibu-eku-un-infrastrukturas-uzlabosana" TargetMode="External"/><Relationship Id="rId4" Type="http://schemas.openxmlformats.org/officeDocument/2006/relationships/settings" Target="settings.xml"/><Relationship Id="rId9" Type="http://schemas.openxmlformats.org/officeDocument/2006/relationships/hyperlink" Target="mailto:attistibas.nodal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AF333-9466-4702-9958-2823A411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9010</Words>
  <Characters>5136</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dc:description/>
  <cp:lastModifiedBy>Sintija Zute</cp:lastModifiedBy>
  <cp:revision>2</cp:revision>
  <cp:lastPrinted>2023-02-27T08:39:00Z</cp:lastPrinted>
  <dcterms:created xsi:type="dcterms:W3CDTF">2023-03-23T11:31:00Z</dcterms:created>
  <dcterms:modified xsi:type="dcterms:W3CDTF">2023-03-23T11:31:00Z</dcterms:modified>
  <dc:language>lv-LV</dc:language>
</cp:coreProperties>
</file>