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aukums"/>
        <w:rPr>
          <w:caps/>
          <w:lang w:val="lv-LV"/>
        </w:rPr>
      </w:pPr>
      <w:r>
        <w:rPr/>
        <w:drawing>
          <wp:inline distT="0" distB="0" distL="0" distR="0">
            <wp:extent cx="770890" cy="901065"/>
            <wp:effectExtent l="0" t="0" r="0" b="0"/>
            <wp:docPr id="1" name="Attēls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descr=""/>
                    <pic:cNvPicPr>
                      <a:picLocks noChangeAspect="1" noChangeArrowheads="1"/>
                    </pic:cNvPicPr>
                  </pic:nvPicPr>
                  <pic:blipFill>
                    <a:blip r:embed="rId2"/>
                    <a:stretch>
                      <a:fillRect/>
                    </a:stretch>
                  </pic:blipFill>
                  <pic:spPr bwMode="auto">
                    <a:xfrm>
                      <a:off x="0" y="0"/>
                      <a:ext cx="770890" cy="901065"/>
                    </a:xfrm>
                    <a:prstGeom prst="rect">
                      <a:avLst/>
                    </a:prstGeom>
                  </pic:spPr>
                </pic:pic>
              </a:graphicData>
            </a:graphic>
          </wp:inline>
        </w:drawing>
      </w:r>
    </w:p>
    <w:p>
      <w:pPr>
        <w:pStyle w:val="Virsraksts1"/>
        <w:rPr>
          <w:caps/>
          <w:sz w:val="24"/>
          <w:szCs w:val="32"/>
        </w:rPr>
      </w:pPr>
      <w:r>
        <w:rPr>
          <w:caps/>
          <w:sz w:val="24"/>
          <w:szCs w:val="32"/>
        </w:rPr>
        <w:t>LIMBAŽU novada ADMINISTRĀCIJA</w:t>
      </w:r>
    </w:p>
    <w:p>
      <w:pPr>
        <w:pStyle w:val="Normal"/>
        <w:jc w:val="center"/>
        <w:rPr>
          <w:b/>
          <w:b/>
          <w:sz w:val="28"/>
          <w:lang w:val="en-GB" w:eastAsia="en-US"/>
        </w:rPr>
      </w:pPr>
      <w:r>
        <w:rPr>
          <w:b/>
          <w:sz w:val="28"/>
          <w:lang w:val="en-GB" w:eastAsia="en-US"/>
        </w:rPr>
        <w:t>LIMBAŽU APVIENĪBAS PĀRVALDE</w:t>
      </w:r>
    </w:p>
    <w:p>
      <w:pPr>
        <w:pStyle w:val="Normal"/>
        <w:jc w:val="center"/>
        <w:rPr>
          <w:b/>
          <w:b/>
          <w:sz w:val="28"/>
          <w:lang w:val="en-GB" w:eastAsia="en-US"/>
        </w:rPr>
      </w:pPr>
      <w:r>
        <w:rPr>
          <w:b/>
          <w:sz w:val="28"/>
          <w:lang w:val="en-GB" w:eastAsia="en-US"/>
        </w:rPr>
        <w:t>KATVARU PAGASTA PAKALPOJUMU SNIEGŠANAS CENTRS</w:t>
      </w:r>
    </w:p>
    <w:p>
      <w:pPr>
        <w:pStyle w:val="Normal"/>
        <w:jc w:val="center"/>
        <w:rPr>
          <w:sz w:val="18"/>
          <w:szCs w:val="20"/>
        </w:rPr>
      </w:pPr>
      <w:r>
        <w:rPr>
          <w:sz w:val="18"/>
          <w:szCs w:val="20"/>
        </w:rPr>
        <w:t xml:space="preserve">Reģ. Nr. 50900030131, Liepu iela 8, Pociems, Katvaru pagasts, Limbažu novads, LV-4061; </w:t>
      </w:r>
    </w:p>
    <w:p>
      <w:pPr>
        <w:pStyle w:val="Nosaukums"/>
        <w:rPr>
          <w:b w:val="false"/>
          <w:b w:val="false"/>
        </w:rPr>
      </w:pPr>
      <w:r>
        <w:rPr>
          <w:b w:val="false"/>
          <w:sz w:val="18"/>
          <w:szCs w:val="20"/>
        </w:rPr>
        <w:t>E-pasts</w:t>
      </w:r>
      <w:r>
        <w:rPr>
          <w:b w:val="false"/>
          <w:iCs/>
          <w:sz w:val="18"/>
          <w:szCs w:val="20"/>
        </w:rPr>
        <w:t xml:space="preserve"> katvari@limbazunovads.lv;</w:t>
      </w:r>
      <w:r>
        <w:rPr>
          <w:b w:val="false"/>
          <w:sz w:val="18"/>
          <w:szCs w:val="20"/>
        </w:rPr>
        <w:t xml:space="preserve"> tālrunis 64023230</w:t>
      </w:r>
    </w:p>
    <w:p>
      <w:pPr>
        <w:pStyle w:val="Normal"/>
        <w:tabs>
          <w:tab w:val="clear" w:pos="720"/>
          <w:tab w:val="left" w:pos="490" w:leader="none"/>
        </w:tabs>
        <w:rPr>
          <w:lang w:val="en-GB" w:eastAsia="en-US"/>
        </w:rPr>
      </w:pPr>
      <w:r>
        <w:rPr>
          <w:lang w:val="en-GB" w:eastAsia="en-US"/>
        </w:rPr>
        <w:tab/>
      </w:r>
    </w:p>
    <w:p>
      <w:pPr>
        <w:pStyle w:val="Normal"/>
        <w:keepNext w:val="true"/>
        <w:widowControl w:val="false"/>
        <w:numPr>
          <w:ilvl w:val="0"/>
          <w:numId w:val="0"/>
        </w:numPr>
        <w:spacing w:beforeAutospacing="1" w:afterAutospacing="1"/>
        <w:ind w:firstLine="284"/>
        <w:jc w:val="both"/>
        <w:outlineLvl w:val="1"/>
        <w:rPr>
          <w:b/>
          <w:b/>
          <w:bCs/>
          <w:lang w:eastAsia="ar-SA"/>
        </w:rPr>
      </w:pPr>
      <w:r>
        <w:rPr>
          <w:rStyle w:val="Noklusjumarindkopasfonts2"/>
        </w:rPr>
        <w:t xml:space="preserve">Limbažu novada pašvaldība uzaicina Jūs iesniegt savu piedāvājumu cenu aptaujai </w:t>
      </w:r>
      <w:r>
        <w:rPr>
          <w:b/>
          <w:bCs/>
          <w:lang w:eastAsia="ar-SA"/>
        </w:rPr>
        <w:t>“</w:t>
      </w:r>
      <w:r>
        <w:rPr>
          <w:b/>
        </w:rPr>
        <w:t>Gājēju ietves gar Valsts vietējo autoceļu V125 Katvari - Ozoli projektēšana un autoruzraudzība būvdarbu laikā</w:t>
      </w:r>
      <w:r>
        <w:rPr>
          <w:b/>
          <w:bCs/>
          <w:lang w:eastAsia="ar-SA"/>
        </w:rPr>
        <w:t>.”</w:t>
      </w:r>
    </w:p>
    <w:p>
      <w:pPr>
        <w:pStyle w:val="Parasts2"/>
        <w:numPr>
          <w:ilvl w:val="0"/>
          <w:numId w:val="5"/>
        </w:numPr>
        <w:ind w:left="567" w:hanging="141"/>
        <w:rPr>
          <w:rStyle w:val="Noklusjumarindkopasfonts2"/>
          <w:b/>
          <w:b/>
          <w:bCs/>
          <w:iCs/>
          <w:color w:val="000000" w:themeColor="text1"/>
          <w:shd w:fill="FFFF00" w:val="clear"/>
        </w:rPr>
      </w:pPr>
      <w:r>
        <w:rPr>
          <w:rStyle w:val="Noklusjumarindkopasfonts2"/>
          <w:b/>
          <w:bCs/>
        </w:rPr>
        <w:t>Līguma izpildes termiņš</w:t>
      </w:r>
      <w:r>
        <w:rPr>
          <w:rStyle w:val="Noklusjumarindkopasfonts2"/>
          <w:b/>
          <w:bCs/>
          <w:color w:val="000000" w:themeColor="text1"/>
        </w:rPr>
        <w:t xml:space="preserve">: </w:t>
      </w:r>
    </w:p>
    <w:p>
      <w:pPr>
        <w:pStyle w:val="ListParagraph"/>
        <w:keepNext w:val="true"/>
        <w:numPr>
          <w:ilvl w:val="1"/>
          <w:numId w:val="6"/>
        </w:numPr>
        <w:suppressAutoHyphens w:val="false"/>
        <w:spacing w:before="0" w:after="0"/>
        <w:ind w:left="1134" w:right="3" w:hanging="425"/>
        <w:contextualSpacing/>
        <w:jc w:val="both"/>
        <w:outlineLvl w:val="1"/>
        <w:rPr>
          <w:rFonts w:ascii="Times New Roman" w:hAnsi="Times New Roman"/>
        </w:rPr>
      </w:pPr>
      <w:r>
        <w:rPr>
          <w:rFonts w:ascii="Times New Roman" w:hAnsi="Times New Roman"/>
        </w:rPr>
        <w:t xml:space="preserve">projekta izstrādei – </w:t>
      </w:r>
      <w:r>
        <w:rPr>
          <w:rFonts w:ascii="Times New Roman" w:hAnsi="Times New Roman"/>
          <w:b/>
          <w:bCs/>
          <w:shd w:fill="FFFFFF" w:val="clear"/>
        </w:rPr>
        <w:t>4 (</w:t>
      </w:r>
      <w:r>
        <w:rPr>
          <w:rFonts w:ascii="Times New Roman" w:hAnsi="Times New Roman"/>
          <w:b/>
          <w:bCs/>
          <w:shd w:fill="FFFFFF" w:val="clear"/>
          <w:lang w:val="lv-LV"/>
        </w:rPr>
        <w:t>četru</w:t>
      </w:r>
      <w:r>
        <w:rPr>
          <w:rFonts w:ascii="Times New Roman" w:hAnsi="Times New Roman"/>
          <w:b/>
          <w:bCs/>
          <w:shd w:fill="FFFFFF" w:val="clear"/>
        </w:rPr>
        <w:t>) </w:t>
      </w:r>
      <w:r>
        <w:rPr>
          <w:rStyle w:val="V1characterstyle1"/>
          <w:rFonts w:ascii="Times New Roman" w:hAnsi="Times New Roman"/>
          <w:b/>
          <w:bCs/>
          <w:shd w:fill="FFFFFF" w:val="clear"/>
        </w:rPr>
        <w:t>mēnešu </w:t>
      </w:r>
      <w:r>
        <w:rPr>
          <w:rStyle w:val="V1characterstyle1"/>
          <w:rFonts w:ascii="Times New Roman" w:hAnsi="Times New Roman"/>
          <w:shd w:fill="FFFFFF" w:val="clear"/>
        </w:rPr>
        <w:t>laikā</w:t>
      </w:r>
      <w:r>
        <w:rPr>
          <w:rStyle w:val="V1characterstyle1"/>
          <w:rFonts w:ascii="Times New Roman" w:hAnsi="Times New Roman"/>
          <w:b/>
          <w:bCs/>
          <w:shd w:fill="FFFFFF" w:val="clear"/>
        </w:rPr>
        <w:t> </w:t>
      </w:r>
      <w:r>
        <w:rPr>
          <w:rStyle w:val="V1characterstyle1"/>
          <w:rFonts w:ascii="Times New Roman" w:hAnsi="Times New Roman"/>
          <w:shd w:fill="FFFFFF" w:val="clear"/>
        </w:rPr>
        <w:t>no iepirkuma līguma noslēgšanas dienas. </w:t>
      </w:r>
      <w:r>
        <w:rPr>
          <w:rFonts w:ascii="Times New Roman" w:hAnsi="Times New Roman"/>
          <w:shd w:fill="FFFFFF" w:val="clear"/>
        </w:rPr>
        <w:t>Projekta izstrādes laikā ir ietverta ieraksta būvatļaujā par projektēšanas nosacījumu izpildi saņemšana, un projekta saskaņošana būvvaldē;</w:t>
      </w:r>
    </w:p>
    <w:p>
      <w:pPr>
        <w:pStyle w:val="ListParagraph"/>
        <w:keepNext w:val="true"/>
        <w:numPr>
          <w:ilvl w:val="1"/>
          <w:numId w:val="6"/>
        </w:numPr>
        <w:suppressAutoHyphens w:val="false"/>
        <w:spacing w:before="0" w:after="0"/>
        <w:ind w:left="1134" w:right="3" w:hanging="425"/>
        <w:contextualSpacing/>
        <w:jc w:val="both"/>
        <w:outlineLvl w:val="1"/>
        <w:rPr>
          <w:rStyle w:val="Noklusjumarindkopasfonts2"/>
          <w:rFonts w:ascii="Times New Roman" w:hAnsi="Times New Roman"/>
        </w:rPr>
      </w:pPr>
      <w:r>
        <w:rPr>
          <w:rFonts w:ascii="Times New Roman" w:hAnsi="Times New Roman"/>
        </w:rPr>
        <w:t xml:space="preserve">autoruzraudzībai – autoruzraudzība veicama visā būvdarbu izpildes laikā – no būvdarbu līguma noslēgšanas dienas līdz objekta nodošanai ekspluatācijā. Plānotais būvdarbu izpildes termiņš ir </w:t>
      </w:r>
      <w:r>
        <w:rPr>
          <w:rFonts w:ascii="Times New Roman" w:hAnsi="Times New Roman"/>
          <w:b/>
        </w:rPr>
        <w:t>2 (divi) mēneši.</w:t>
      </w:r>
    </w:p>
    <w:p>
      <w:pPr>
        <w:pStyle w:val="Parasts2"/>
        <w:ind w:left="709" w:hanging="283"/>
        <w:rPr/>
      </w:pPr>
      <w:r>
        <w:rPr>
          <w:b/>
        </w:rPr>
        <w:t>2. Līguma izpildes vieta</w:t>
      </w:r>
      <w:r>
        <w:rPr>
          <w:bCs/>
        </w:rPr>
        <w:t xml:space="preserve">: </w:t>
      </w:r>
      <w:r>
        <w:rPr>
          <w:kern w:val="2"/>
        </w:rPr>
        <w:t>Valsts vietējā autoceļa V125 “Katvari- Ozoli” aptuveni no 9,240 km līdz 9,705 km nodalījumu joslā Pociemu ielas posmā no Liepu ielas līdz apdzīvotas vietas zīmei</w:t>
      </w:r>
      <w:r>
        <w:rPr>
          <w:bCs/>
        </w:rPr>
        <w:t xml:space="preserve"> “</w:t>
      </w:r>
      <w:r>
        <w:rPr>
          <w:kern w:val="2"/>
        </w:rPr>
        <w:t xml:space="preserve">Pociems” (Pociema robežu zīmei) </w:t>
      </w:r>
      <w:r>
        <w:rPr>
          <w:bCs/>
        </w:rPr>
        <w:t>, Katvaru pag., Limbažu novads.</w:t>
      </w:r>
    </w:p>
    <w:p>
      <w:pPr>
        <w:pStyle w:val="Parasts2"/>
        <w:ind w:firstLine="426"/>
        <w:rPr>
          <w:rStyle w:val="Noklusjumarindkopasfonts2"/>
        </w:rPr>
      </w:pPr>
      <w:r>
        <w:rPr>
          <w:rStyle w:val="Noklusjumarindkopasfonts2"/>
          <w:b/>
          <w:bCs/>
        </w:rPr>
        <w:t>3. Līguma apmaksa</w:t>
      </w:r>
      <w:r>
        <w:rPr>
          <w:rStyle w:val="Noklusjumarindkopasfonts2"/>
        </w:rPr>
        <w:t xml:space="preserve">: </w:t>
      </w:r>
    </w:p>
    <w:p>
      <w:pPr>
        <w:pStyle w:val="Parasts2"/>
        <w:ind w:left="1134" w:hanging="425"/>
        <w:jc w:val="both"/>
        <w:rPr/>
      </w:pPr>
      <w:r>
        <w:rPr>
          <w:rStyle w:val="Noklusjumarindkopasfonts2"/>
        </w:rPr>
        <w:t xml:space="preserve">3.1. </w:t>
      </w:r>
      <w:r>
        <w:rPr/>
        <w:t>projekta izstrādei – 15 (piecpadsmit) darba dienu laikā pēc projekta akceptēšanas Limbažu novada būvvaldē, pieņemšanas – nodošanas akta parakstīšanas un izpildītāja rēķina saņemšanas;</w:t>
      </w:r>
    </w:p>
    <w:p>
      <w:pPr>
        <w:pStyle w:val="Parasts2"/>
        <w:ind w:left="1134" w:hanging="425"/>
        <w:jc w:val="both"/>
        <w:rPr/>
      </w:pPr>
      <w:r>
        <w:rPr/>
        <w:t xml:space="preserve">3.2. autoruzraudzība </w:t>
      </w:r>
      <w:r>
        <w:rPr>
          <w:bCs/>
        </w:rPr>
        <w:t>tiek apmaksāta 15 (piecpadsmit) darba dienu laikā pēc būves pieņemšanas ekspluatācijā, pieņemšanas – nodošanas akta parakstīšanas un izpildītāja rēķina saņemšanas dienas.</w:t>
      </w:r>
    </w:p>
    <w:p>
      <w:pPr>
        <w:pStyle w:val="Parasts2"/>
        <w:ind w:left="709" w:hanging="283"/>
        <w:rPr>
          <w:bCs/>
        </w:rPr>
      </w:pPr>
      <w:r>
        <w:rPr>
          <w:rStyle w:val="Noklusjumarindkopasfonts2"/>
          <w:b/>
          <w:bCs/>
        </w:rPr>
        <w:t>4. Kontaktpersona</w:t>
      </w:r>
      <w:r>
        <w:rPr>
          <w:rStyle w:val="Noklusjumarindkopasfonts2"/>
        </w:rPr>
        <w:t>: Katvaru pagasta pakalpojuma sniegšanas centra vadītājs Mārtiņš Grāvelsiņš tālr.: 20276070</w:t>
      </w:r>
    </w:p>
    <w:p>
      <w:pPr>
        <w:pStyle w:val="Parasts2"/>
        <w:tabs>
          <w:tab w:val="clear" w:pos="720"/>
          <w:tab w:val="left" w:pos="284" w:leader="none"/>
        </w:tabs>
        <w:ind w:left="567" w:hanging="141"/>
        <w:jc w:val="both"/>
        <w:rPr>
          <w:bCs/>
        </w:rPr>
      </w:pPr>
      <w:r>
        <w:rPr>
          <w:b/>
        </w:rPr>
        <w:t>5.Pretendentam</w:t>
      </w:r>
      <w:r>
        <w:rPr>
          <w:bCs/>
        </w:rPr>
        <w:t>,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pPr>
        <w:pStyle w:val="Parasts2"/>
        <w:tabs>
          <w:tab w:val="clear" w:pos="720"/>
          <w:tab w:val="left" w:pos="284" w:leader="none"/>
        </w:tabs>
        <w:ind w:left="709" w:hanging="283"/>
        <w:jc w:val="both"/>
        <w:rPr>
          <w:bCs/>
        </w:rPr>
      </w:pPr>
      <w:r>
        <w:rPr>
          <w:b/>
        </w:rPr>
        <w:t xml:space="preserve">6. </w:t>
      </w:r>
      <w:r>
        <w:rPr>
          <w:u w:val="single"/>
        </w:rPr>
        <w:t>Pretendents var piedāvāt atšķirīgu tehnisko risinājumu saskaņojot to ar pasūtītāju un tehnisko noteikumu izsniedzēju</w:t>
      </w:r>
      <w:r>
        <w:rPr>
          <w:bCs/>
          <w:u w:val="single"/>
        </w:rPr>
        <w:t>.</w:t>
      </w:r>
    </w:p>
    <w:p>
      <w:pPr>
        <w:pStyle w:val="Normal"/>
        <w:ind w:left="426" w:hanging="0"/>
        <w:jc w:val="both"/>
        <w:rPr>
          <w:b/>
          <w:b/>
        </w:rPr>
      </w:pPr>
      <w:r>
        <w:rPr>
          <w:b/>
          <w:color w:val="000000" w:themeColor="text1"/>
        </w:rPr>
        <w:t xml:space="preserve">Pretendenta piedāvātajam projektēšanas vadītājam jābūt sertificētam </w:t>
      </w:r>
      <w:r>
        <w:rPr>
          <w:u w:val="single"/>
        </w:rPr>
        <w:t>ceļu projektēšanas</w:t>
      </w:r>
      <w:bookmarkStart w:id="0" w:name="_GoBack"/>
      <w:bookmarkEnd w:id="0"/>
      <w:r>
        <w:rPr/>
        <w:t xml:space="preserve"> darbu veikšanā. </w:t>
      </w:r>
      <w:r>
        <w:rPr>
          <w:color w:val="000000" w:themeColor="text1"/>
          <w:lang w:eastAsia="ar-SA"/>
        </w:rPr>
        <w:t>Par speciālista sertifikātu esamību pasūtītājs pārliecinās būvniecības informācijas sistēmā (BIS).</w:t>
      </w:r>
    </w:p>
    <w:p>
      <w:pPr>
        <w:pStyle w:val="Normal"/>
        <w:spacing w:before="120" w:after="0"/>
        <w:ind w:left="426" w:right="-142" w:hanging="0"/>
        <w:jc w:val="both"/>
        <w:rPr/>
      </w:pPr>
      <w:r>
        <w:rPr/>
      </w:r>
    </w:p>
    <w:p>
      <w:pPr>
        <w:pStyle w:val="Normal"/>
        <w:pBdr/>
        <w:spacing w:before="120" w:after="0"/>
        <w:ind w:left="426" w:right="-142" w:hanging="0"/>
        <w:jc w:val="both"/>
        <w:rPr>
          <w:i/>
          <w:i/>
          <w:iCs/>
          <w:color w:val="000000" w:themeColor="text1"/>
        </w:rPr>
        <w:framePr w:w="23" w:h="396" w:x="-120" w:y="212" w:hSpace="180" w:vSpace="0" w:wrap="around" w:vAnchor="text" w:hAnchor="text" w:hRule="exact"/>
        <w:pBdr/>
      </w:pPr>
      <w:r>
        <w:rPr>
          <w:i/>
          <w:iCs/>
          <w:color w:val="000000" w:themeColor="text1"/>
        </w:rPr>
      </w:r>
    </w:p>
    <w:p>
      <w:pPr>
        <w:pStyle w:val="Parasts2"/>
        <w:tabs>
          <w:tab w:val="clear" w:pos="720"/>
          <w:tab w:val="left" w:pos="540" w:leader="none"/>
        </w:tabs>
        <w:ind w:firstLine="284"/>
        <w:jc w:val="both"/>
        <w:rPr/>
      </w:pPr>
      <w:r>
        <w:rPr>
          <w:b/>
          <w:bCs/>
        </w:rPr>
        <w:t>Piedāvājuma izvēles kritērijs ir piedāvājums ar viszemāko cenu.</w:t>
      </w:r>
    </w:p>
    <w:p>
      <w:pPr>
        <w:pStyle w:val="Parasts2"/>
        <w:ind w:firstLine="284"/>
        <w:jc w:val="both"/>
        <w:rPr/>
      </w:pPr>
      <w:r>
        <w:rPr>
          <w:rStyle w:val="Noklusjumarindkopasfonts2"/>
        </w:rPr>
        <w:t xml:space="preserve"> </w:t>
      </w:r>
      <w:r>
        <w:rPr>
          <w:rStyle w:val="Noklusjumarindkopasfonts2"/>
        </w:rPr>
        <w:t xml:space="preserve">Piedāvājumus cenu aptaujai var iesniegt līdz 2023. gada </w:t>
      </w:r>
      <w:r>
        <w:rPr>
          <w:rStyle w:val="Noklusjumarindkopasfonts2"/>
          <w:b/>
          <w:bCs/>
        </w:rPr>
        <w:t>26</w:t>
      </w:r>
      <w:r>
        <w:rPr>
          <w:rStyle w:val="Noklusjumarindkopasfonts2"/>
          <w:b/>
          <w:bCs/>
        </w:rPr>
        <w:t xml:space="preserve">. </w:t>
      </w:r>
      <w:r>
        <w:rPr>
          <w:rStyle w:val="Noklusjumarindkopasfonts2"/>
          <w:b/>
        </w:rPr>
        <w:t>jūlijam</w:t>
      </w:r>
      <w:r>
        <w:rPr>
          <w:rStyle w:val="Noklusjumarindkopasfonts2"/>
        </w:rPr>
        <w:t xml:space="preserve"> plkst. 10.00. </w:t>
      </w:r>
    </w:p>
    <w:p>
      <w:pPr>
        <w:pStyle w:val="Parasts2"/>
        <w:rPr>
          <w:bCs/>
        </w:rPr>
      </w:pPr>
      <w:r>
        <w:rPr>
          <w:bCs/>
        </w:rPr>
      </w:r>
    </w:p>
    <w:p>
      <w:pPr>
        <w:pStyle w:val="Parasts2"/>
        <w:ind w:firstLine="426"/>
        <w:rPr/>
      </w:pPr>
      <w:r>
        <w:rPr>
          <w:bCs/>
        </w:rPr>
        <w:t>Piedāvājumi var tikt iesniegti:</w:t>
      </w:r>
    </w:p>
    <w:p>
      <w:pPr>
        <w:pStyle w:val="Parasts2"/>
        <w:ind w:left="567" w:hanging="141"/>
        <w:jc w:val="both"/>
        <w:rPr/>
      </w:pPr>
      <w:r>
        <w:rPr>
          <w:bCs/>
        </w:rPr>
        <w:t>1.iesniedzot personīgi Katvaru pagasta pakalpojuma sniegšanas centrā, Liepu ielā 8, Pociemā, Katvaru pagastā Limbažu novadā;</w:t>
      </w:r>
    </w:p>
    <w:p>
      <w:pPr>
        <w:pStyle w:val="Parasts2"/>
        <w:ind w:left="567" w:hanging="141"/>
        <w:jc w:val="both"/>
        <w:rPr/>
      </w:pPr>
      <w:r>
        <w:rPr>
          <w:bCs/>
        </w:rPr>
        <w:t>2.nosūtot pa pastu vai nogādājot ar kurjeru, adresējot Katvaru pagasta pakalpojuma sniegšanas centrs, Liepu ielā 8, Limbažos, Limbažu novadā, LV-4061;</w:t>
      </w:r>
    </w:p>
    <w:p>
      <w:pPr>
        <w:pStyle w:val="Parasts2"/>
        <w:ind w:firstLine="426"/>
        <w:jc w:val="both"/>
        <w:rPr/>
      </w:pPr>
      <w:r>
        <w:rPr>
          <w:bCs/>
        </w:rPr>
        <w:t>3.nosūtot ieskanētu pa e-pastu (katvari@limbazunovads.lv) un pēc tam oriģinālu nosūtot pa pastu;</w:t>
      </w:r>
    </w:p>
    <w:p>
      <w:pPr>
        <w:pStyle w:val="Parasts2"/>
        <w:ind w:firstLine="426"/>
        <w:jc w:val="both"/>
        <w:rPr/>
      </w:pPr>
      <w:r>
        <w:rPr>
          <w:bCs/>
        </w:rPr>
        <w:t>4.nosūtot elektroniski parakstītu uz e-pastu (katvari@limbazunovads.lv);</w:t>
      </w:r>
    </w:p>
    <w:p>
      <w:pPr>
        <w:pStyle w:val="Parasts2"/>
        <w:ind w:left="567" w:hanging="141"/>
        <w:jc w:val="both"/>
        <w:rPr/>
      </w:pPr>
      <w:r>
        <w:rPr>
          <w:bCs/>
        </w:rPr>
        <w:t>5.nosūtot 3. vai 4. punktā minētajā kārtībā, bet ar elektroniski šifrētu finanšu piedāvājumu un nodrošināt piedāvājuma atvēršanas paroles nosūtīšanu 1(vienas) stundas laikā pēc iesniegšanas termiņa beigām.</w:t>
      </w:r>
    </w:p>
    <w:p>
      <w:pPr>
        <w:pStyle w:val="Parasts2"/>
        <w:ind w:firstLine="426"/>
        <w:jc w:val="both"/>
        <w:rPr>
          <w:u w:val="single"/>
        </w:rPr>
      </w:pPr>
      <w:r>
        <w:rPr>
          <w:bCs/>
          <w:u w:val="single"/>
        </w:rPr>
        <w:t>Piedāvājumi, kuri būs iesniegti pēc noteiktā termiņa, netiks izskatīti.</w:t>
      </w:r>
    </w:p>
    <w:p>
      <w:pPr>
        <w:pStyle w:val="Parasts2"/>
        <w:rPr/>
      </w:pPr>
      <w:r>
        <w:rPr/>
      </w:r>
    </w:p>
    <w:p>
      <w:pPr>
        <w:pStyle w:val="Parasts2"/>
        <w:rPr/>
      </w:pPr>
      <w:r>
        <w:rPr>
          <w:bCs/>
        </w:rPr>
        <w:t xml:space="preserve">Pielikumā: </w:t>
        <w:tab/>
      </w:r>
    </w:p>
    <w:p>
      <w:pPr>
        <w:pStyle w:val="ListParagraph"/>
        <w:numPr>
          <w:ilvl w:val="0"/>
          <w:numId w:val="2"/>
        </w:numPr>
        <w:rPr/>
      </w:pPr>
      <w:r>
        <w:rPr>
          <w:rStyle w:val="Noklusjumarindkopasfonts2"/>
          <w:rFonts w:ascii="Times New Roman" w:hAnsi="Times New Roman"/>
          <w:lang w:val="lv-LV"/>
        </w:rPr>
        <w:t xml:space="preserve">Tehniskā specifikācija uz 2 (divām) lapām; </w:t>
      </w:r>
    </w:p>
    <w:p>
      <w:pPr>
        <w:pStyle w:val="ListParagraph"/>
        <w:numPr>
          <w:ilvl w:val="0"/>
          <w:numId w:val="2"/>
        </w:numPr>
        <w:rPr>
          <w:rFonts w:ascii="Times New Roman" w:hAnsi="Times New Roman"/>
        </w:rPr>
      </w:pPr>
      <w:r>
        <w:rPr>
          <w:rFonts w:ascii="Times New Roman" w:hAnsi="Times New Roman"/>
          <w:lang w:val="lv-LV"/>
        </w:rPr>
        <w:t>Piedāvājuma veidlapa uz 2 (divām) lapām;</w:t>
      </w:r>
    </w:p>
    <w:p>
      <w:pPr>
        <w:pStyle w:val="ListParagraph"/>
        <w:numPr>
          <w:ilvl w:val="0"/>
          <w:numId w:val="2"/>
        </w:numPr>
        <w:rPr>
          <w:rFonts w:ascii="Times New Roman" w:hAnsi="Times New Roman"/>
        </w:rPr>
      </w:pPr>
      <w:r>
        <w:rPr>
          <w:rFonts w:ascii="Times New Roman" w:hAnsi="Times New Roman"/>
          <w:lang w:val="lv-LV"/>
        </w:rPr>
        <w:t xml:space="preserve">Apliecinājums par neatkarīgi izstrādātu piedāvājumu </w:t>
      </w:r>
      <w:bookmarkStart w:id="1" w:name="_Hlk104967271"/>
      <w:r>
        <w:rPr>
          <w:rFonts w:ascii="Times New Roman" w:hAnsi="Times New Roman"/>
          <w:lang w:val="lv-LV"/>
        </w:rPr>
        <w:t>uz 1 (vienas) l</w:t>
      </w:r>
      <w:bookmarkEnd w:id="1"/>
      <w:r>
        <w:rPr>
          <w:rFonts w:ascii="Times New Roman" w:hAnsi="Times New Roman"/>
          <w:lang w:val="lv-LV"/>
        </w:rPr>
        <w:t>apas;</w:t>
      </w:r>
    </w:p>
    <w:p>
      <w:pPr>
        <w:pStyle w:val="ListParagraph"/>
        <w:numPr>
          <w:ilvl w:val="0"/>
          <w:numId w:val="2"/>
        </w:numPr>
        <w:rPr>
          <w:rFonts w:ascii="Times New Roman" w:hAnsi="Times New Roman"/>
        </w:rPr>
      </w:pPr>
      <w:r>
        <w:rPr>
          <w:rFonts w:ascii="Times New Roman" w:hAnsi="Times New Roman"/>
          <w:lang w:val="lv-LV"/>
        </w:rPr>
        <w:t>Situācijas ceļa shēma pdf formātā</w:t>
      </w:r>
    </w:p>
    <w:p>
      <w:pPr>
        <w:pStyle w:val="ListParagraph"/>
        <w:numPr>
          <w:ilvl w:val="0"/>
          <w:numId w:val="2"/>
        </w:numPr>
        <w:rPr>
          <w:rFonts w:ascii="Times New Roman" w:hAnsi="Times New Roman"/>
        </w:rPr>
      </w:pPr>
      <w:r>
        <w:rPr>
          <w:rFonts w:ascii="Times New Roman" w:hAnsi="Times New Roman"/>
          <w:lang w:val="lv-LV"/>
        </w:rPr>
        <w:t>LVC apstiprinājums</w:t>
      </w:r>
    </w:p>
    <w:p>
      <w:pPr>
        <w:pStyle w:val="ListParagraph"/>
        <w:rPr>
          <w:rFonts w:ascii="Times New Roman" w:hAnsi="Times New Roman"/>
        </w:rPr>
      </w:pPr>
      <w:r>
        <w:rPr>
          <w:rFonts w:ascii="Times New Roman" w:hAnsi="Times New Roman"/>
        </w:rPr>
      </w:r>
    </w:p>
    <w:p>
      <w:pPr>
        <w:pStyle w:val="Parasts2"/>
        <w:rPr>
          <w:bCs/>
        </w:rPr>
      </w:pPr>
      <w:r>
        <w:rPr>
          <w:bCs/>
        </w:rPr>
      </w:r>
    </w:p>
    <w:p>
      <w:pPr>
        <w:pStyle w:val="Parasts2"/>
        <w:rPr/>
      </w:pPr>
      <w:r>
        <w:rPr>
          <w:bCs/>
        </w:rPr>
        <w:t>Pretendentam iesniedzamie dokumenti:</w:t>
      </w:r>
    </w:p>
    <w:p>
      <w:pPr>
        <w:pStyle w:val="Parasts2"/>
        <w:rPr/>
      </w:pPr>
      <w:r>
        <w:rPr>
          <w:bCs/>
        </w:rPr>
        <w:t>1. Piedāvājuma veidlapa.</w:t>
      </w:r>
    </w:p>
    <w:p>
      <w:pPr>
        <w:pStyle w:val="Parasts2"/>
        <w:rPr/>
      </w:pPr>
      <w:r>
        <w:rPr>
          <w:rStyle w:val="Noklusjumarindkopasfonts2"/>
        </w:rPr>
        <w:t xml:space="preserve">2. </w:t>
      </w:r>
      <w:r>
        <w:rPr/>
        <w:t>Finanšu piedāvājuma veidlapa</w:t>
      </w:r>
    </w:p>
    <w:p>
      <w:pPr>
        <w:pStyle w:val="Parasts2"/>
        <w:rPr/>
      </w:pPr>
      <w:r>
        <w:rPr/>
        <w:t>3. Apliecinājums par neatkarīgi izstrādātu piedāvājumu</w:t>
      </w:r>
    </w:p>
    <w:p>
      <w:pPr>
        <w:pStyle w:val="Parasts2"/>
        <w:rPr/>
      </w:pPr>
      <w:r>
        <w:rPr/>
      </w:r>
    </w:p>
    <w:p>
      <w:pPr>
        <w:pStyle w:val="Parasts2"/>
        <w:rPr/>
      </w:pPr>
      <w:r>
        <w:rPr/>
      </w:r>
    </w:p>
    <w:p>
      <w:pPr>
        <w:pStyle w:val="Parasts2"/>
        <w:rPr/>
      </w:pPr>
      <w:r>
        <w:rPr/>
      </w:r>
    </w:p>
    <w:p>
      <w:pPr>
        <w:pStyle w:val="Parasts2"/>
        <w:rPr/>
      </w:pPr>
      <w:r>
        <w:rPr/>
      </w:r>
    </w:p>
    <w:p>
      <w:pPr>
        <w:pStyle w:val="Parasts2"/>
        <w:rPr/>
      </w:pPr>
      <w:r>
        <w:rPr/>
      </w:r>
    </w:p>
    <w:p>
      <w:pPr>
        <w:pStyle w:val="Parasts2"/>
        <w:rPr/>
      </w:pPr>
      <w:r>
        <w:rPr/>
      </w:r>
    </w:p>
    <w:p>
      <w:pPr>
        <w:pStyle w:val="Parasts2"/>
        <w:rPr/>
      </w:pPr>
      <w:r>
        <w:rPr/>
      </w:r>
    </w:p>
    <w:p>
      <w:pPr>
        <w:pStyle w:val="Parasts2"/>
        <w:rPr/>
      </w:pPr>
      <w:r>
        <w:rPr/>
      </w:r>
    </w:p>
    <w:p>
      <w:pPr>
        <w:pStyle w:val="Parasts2"/>
        <w:rPr/>
      </w:pPr>
      <w:r>
        <w:rPr/>
      </w:r>
    </w:p>
    <w:p>
      <w:pPr>
        <w:pStyle w:val="Parasts2"/>
        <w:rPr/>
      </w:pPr>
      <w:r>
        <w:rPr/>
      </w:r>
    </w:p>
    <w:p>
      <w:pPr>
        <w:pStyle w:val="Parasts2"/>
        <w:rPr/>
      </w:pPr>
      <w:r>
        <w:rPr/>
      </w:r>
    </w:p>
    <w:p>
      <w:pPr>
        <w:pStyle w:val="Parasts2"/>
        <w:rPr/>
      </w:pPr>
      <w:r>
        <w:rPr/>
      </w:r>
    </w:p>
    <w:p>
      <w:pPr>
        <w:pStyle w:val="Parasts2"/>
        <w:rPr/>
      </w:pPr>
      <w:r>
        <w:rPr/>
      </w:r>
    </w:p>
    <w:p>
      <w:pPr>
        <w:pStyle w:val="Parasts2"/>
        <w:rPr/>
      </w:pPr>
      <w:r>
        <w:rPr/>
      </w:r>
    </w:p>
    <w:p>
      <w:pPr>
        <w:pStyle w:val="Parasts2"/>
        <w:rPr/>
      </w:pPr>
      <w:r>
        <w:rPr/>
      </w:r>
    </w:p>
    <w:p>
      <w:pPr>
        <w:pStyle w:val="Parasts2"/>
        <w:rPr/>
      </w:pPr>
      <w:r>
        <w:rPr/>
      </w:r>
    </w:p>
    <w:p>
      <w:pPr>
        <w:pStyle w:val="Parasts2"/>
        <w:rPr/>
      </w:pPr>
      <w:r>
        <w:rPr/>
      </w:r>
    </w:p>
    <w:p>
      <w:pPr>
        <w:pStyle w:val="Parasts2"/>
        <w:rPr/>
      </w:pPr>
      <w:r>
        <w:rPr/>
      </w:r>
    </w:p>
    <w:p>
      <w:pPr>
        <w:pStyle w:val="Parasts2"/>
        <w:rPr/>
      </w:pPr>
      <w:r>
        <w:rPr/>
      </w:r>
    </w:p>
    <w:p>
      <w:pPr>
        <w:pStyle w:val="Parasts2"/>
        <w:rPr/>
      </w:pPr>
      <w:r>
        <w:rPr/>
      </w:r>
    </w:p>
    <w:p>
      <w:pPr>
        <w:pStyle w:val="Parasts2"/>
        <w:rPr/>
      </w:pPr>
      <w:r>
        <w:rPr/>
      </w:r>
    </w:p>
    <w:p>
      <w:pPr>
        <w:pStyle w:val="Parasts2"/>
        <w:rPr/>
      </w:pPr>
      <w:r>
        <w:rPr/>
      </w:r>
    </w:p>
    <w:p>
      <w:pPr>
        <w:pStyle w:val="Parasts2"/>
        <w:rPr/>
      </w:pPr>
      <w:r>
        <w:rPr/>
      </w:r>
    </w:p>
    <w:p>
      <w:pPr>
        <w:pStyle w:val="Parasts2"/>
        <w:rPr/>
      </w:pPr>
      <w:r>
        <w:rPr/>
      </w:r>
    </w:p>
    <w:p>
      <w:pPr>
        <w:pStyle w:val="Parasts2"/>
        <w:rPr/>
      </w:pPr>
      <w:r>
        <w:rPr/>
      </w:r>
    </w:p>
    <w:p>
      <w:pPr>
        <w:pStyle w:val="Parasts2"/>
        <w:rPr/>
      </w:pPr>
      <w:r>
        <w:rPr/>
      </w:r>
    </w:p>
    <w:p>
      <w:pPr>
        <w:pStyle w:val="Parasts2"/>
        <w:rPr/>
      </w:pPr>
      <w:r>
        <w:rPr/>
      </w:r>
    </w:p>
    <w:p>
      <w:pPr>
        <w:pStyle w:val="Parasts2"/>
        <w:rPr/>
      </w:pPr>
      <w:r>
        <w:rPr/>
      </w:r>
    </w:p>
    <w:p>
      <w:pPr>
        <w:pStyle w:val="Parasts2"/>
        <w:rPr/>
      </w:pPr>
      <w:r>
        <w:rPr/>
      </w:r>
    </w:p>
    <w:p>
      <w:pPr>
        <w:pStyle w:val="Parasts2"/>
        <w:rPr/>
      </w:pPr>
      <w:r>
        <w:rPr/>
      </w:r>
    </w:p>
    <w:p>
      <w:pPr>
        <w:pStyle w:val="Parasts2"/>
        <w:rPr/>
      </w:pPr>
      <w:r>
        <w:rPr/>
      </w:r>
    </w:p>
    <w:p>
      <w:pPr>
        <w:pStyle w:val="Parasts2"/>
        <w:rPr/>
      </w:pPr>
      <w:r>
        <w:rPr/>
      </w:r>
    </w:p>
    <w:p>
      <w:pPr>
        <w:pStyle w:val="Parasts2"/>
        <w:rPr/>
      </w:pPr>
      <w:r>
        <w:rPr/>
      </w:r>
    </w:p>
    <w:p>
      <w:pPr>
        <w:pStyle w:val="Parasts2"/>
        <w:rPr/>
      </w:pPr>
      <w:r>
        <w:rPr/>
      </w:r>
    </w:p>
    <w:p>
      <w:pPr>
        <w:pStyle w:val="Parasts2"/>
        <w:rPr/>
      </w:pPr>
      <w:r>
        <w:rPr/>
      </w:r>
    </w:p>
    <w:p>
      <w:pPr>
        <w:pStyle w:val="Parasts2"/>
        <w:rPr/>
      </w:pPr>
      <w:r>
        <w:rPr/>
      </w:r>
    </w:p>
    <w:p>
      <w:pPr>
        <w:pStyle w:val="Parasts2"/>
        <w:rPr/>
      </w:pPr>
      <w:r>
        <w:rPr/>
      </w:r>
    </w:p>
    <w:p>
      <w:pPr>
        <w:pStyle w:val="Parasts2"/>
        <w:rPr/>
      </w:pPr>
      <w:r>
        <w:rPr/>
      </w:r>
    </w:p>
    <w:p>
      <w:pPr>
        <w:pStyle w:val="Parasts2"/>
        <w:rPr/>
      </w:pPr>
      <w:r>
        <w:rPr/>
      </w:r>
    </w:p>
    <w:p>
      <w:pPr>
        <w:pStyle w:val="Parasts2"/>
        <w:rPr/>
      </w:pPr>
      <w:r>
        <w:rPr/>
      </w:r>
    </w:p>
    <w:p>
      <w:pPr>
        <w:pStyle w:val="Parasts2"/>
        <w:rPr/>
      </w:pPr>
      <w:r>
        <w:rPr/>
      </w:r>
    </w:p>
    <w:p>
      <w:pPr>
        <w:pStyle w:val="Parasts2"/>
        <w:rPr/>
      </w:pPr>
      <w:r>
        <w:rPr/>
      </w:r>
    </w:p>
    <w:p>
      <w:pPr>
        <w:pStyle w:val="Parasts2"/>
        <w:rPr/>
      </w:pPr>
      <w:r>
        <w:rPr/>
      </w:r>
    </w:p>
    <w:p>
      <w:pPr>
        <w:pStyle w:val="Parasts2"/>
        <w:rPr>
          <w:bCs/>
        </w:rPr>
      </w:pPr>
      <w:r>
        <w:rPr>
          <w:bCs/>
        </w:rPr>
      </w:r>
    </w:p>
    <w:p>
      <w:pPr>
        <w:pStyle w:val="Parasts2"/>
        <w:suppressAutoHyphens w:val="false"/>
        <w:jc w:val="right"/>
        <w:textAlignment w:val="auto"/>
        <w:rPr>
          <w:bCs/>
        </w:rPr>
      </w:pPr>
      <w:r>
        <w:rPr>
          <w:bCs/>
        </w:rPr>
        <w:t>Pielikums Nr. 1</w:t>
      </w:r>
    </w:p>
    <w:p>
      <w:pPr>
        <w:pStyle w:val="Naisnod"/>
        <w:spacing w:before="0" w:after="0"/>
        <w:rPr>
          <w:b w:val="false"/>
          <w:b w:val="false"/>
          <w:bCs w:val="false"/>
        </w:rPr>
      </w:pPr>
      <w:r>
        <w:rPr>
          <w:b w:val="false"/>
          <w:bCs w:val="false"/>
        </w:rPr>
        <w:t xml:space="preserve">Cenu aptaujas  </w:t>
      </w:r>
      <w:r>
        <w:rPr>
          <w:b w:val="false"/>
          <w:bCs w:val="false"/>
          <w:sz w:val="23"/>
          <w:szCs w:val="23"/>
          <w:lang w:eastAsia="ar-SA"/>
        </w:rPr>
        <w:t>“</w:t>
      </w:r>
      <w:r>
        <w:rPr/>
        <w:t>Gājēju ietves gar Valsts vietējo autoceļu V125 Katvari - Ozoli projektēšana un autoruzraudzība būvdarbu laikā</w:t>
      </w:r>
      <w:r>
        <w:rPr>
          <w:b w:val="false"/>
          <w:bCs w:val="false"/>
        </w:rPr>
        <w:t>”</w:t>
      </w:r>
    </w:p>
    <w:p>
      <w:pPr>
        <w:pStyle w:val="Normal"/>
        <w:rPr>
          <w:b/>
          <w:b/>
        </w:rPr>
      </w:pPr>
      <w:r>
        <w:rPr>
          <w:b/>
        </w:rPr>
      </w:r>
    </w:p>
    <w:p>
      <w:pPr>
        <w:pStyle w:val="Naisnod"/>
        <w:spacing w:before="0" w:after="0"/>
        <w:rPr>
          <w:b w:val="false"/>
          <w:b w:val="false"/>
        </w:rPr>
      </w:pPr>
      <w:r>
        <w:rPr/>
        <w:t>Tehniskā specifikācija/Darba uzdevums.</w:t>
      </w:r>
    </w:p>
    <w:p>
      <w:pPr>
        <w:pStyle w:val="Naisnod"/>
        <w:spacing w:before="0" w:after="0"/>
        <w:rPr>
          <w:b w:val="false"/>
          <w:b w:val="false"/>
        </w:rPr>
      </w:pPr>
      <w:r>
        <w:rPr/>
        <w:t>“</w:t>
      </w:r>
      <w:r>
        <w:rPr/>
        <w:t>Gājēju ietves gar Valsts vietējo autoceļu V125 Katvari - Ozoli projektēšana un autoruzraudzība būvdarbu laikā</w:t>
      </w:r>
      <w:r>
        <w:rPr>
          <w:b w:val="false"/>
        </w:rPr>
        <w:t>”</w:t>
      </w:r>
    </w:p>
    <w:p>
      <w:pPr>
        <w:pStyle w:val="Naisnod"/>
        <w:spacing w:before="0" w:after="0"/>
        <w:rPr>
          <w:b w:val="false"/>
          <w:b w:val="false"/>
        </w:rPr>
      </w:pPr>
      <w:r>
        <w:rPr>
          <w:b w:val="false"/>
        </w:rPr>
      </w:r>
    </w:p>
    <w:tbl>
      <w:tblPr>
        <w:tblpPr w:bottomFromText="0" w:horzAnchor="margin" w:leftFromText="180" w:rightFromText="180" w:tblpX="0" w:tblpXSpec="center" w:tblpY="176" w:topFromText="0" w:vertAnchor="text"/>
        <w:tblW w:w="10569"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848"/>
        <w:gridCol w:w="2411"/>
        <w:gridCol w:w="7310"/>
      </w:tblGrid>
      <w:tr>
        <w:trPr>
          <w:trHeight w:val="683" w:hRule="atLeast"/>
        </w:trPr>
        <w:tc>
          <w:tcPr>
            <w:tcW w:w="3259" w:type="dxa"/>
            <w:gridSpan w:val="2"/>
            <w:tcBorders>
              <w:top w:val="single" w:sz="12" w:space="0" w:color="000000"/>
              <w:left w:val="single" w:sz="12" w:space="0" w:color="000000"/>
              <w:bottom w:val="single" w:sz="12" w:space="0" w:color="000000"/>
              <w:right w:val="single" w:sz="6" w:space="0" w:color="000000"/>
            </w:tcBorders>
          </w:tcPr>
          <w:p>
            <w:pPr>
              <w:pStyle w:val="Normal"/>
              <w:widowControl w:val="false"/>
              <w:jc w:val="center"/>
              <w:rPr/>
            </w:pPr>
            <w:r>
              <w:rPr/>
              <w:t>Objekta</w:t>
            </w:r>
          </w:p>
          <w:p>
            <w:pPr>
              <w:pStyle w:val="Normal"/>
              <w:widowControl w:val="false"/>
              <w:jc w:val="center"/>
              <w:rPr>
                <w:sz w:val="20"/>
                <w:szCs w:val="20"/>
              </w:rPr>
            </w:pPr>
            <w:r>
              <w:rPr/>
              <w:t>nosaukums</w:t>
            </w:r>
          </w:p>
        </w:tc>
        <w:tc>
          <w:tcPr>
            <w:tcW w:w="7310" w:type="dxa"/>
            <w:tcBorders>
              <w:top w:val="single" w:sz="12" w:space="0" w:color="000000"/>
              <w:left w:val="single" w:sz="6" w:space="0" w:color="000000"/>
              <w:bottom w:val="single" w:sz="6" w:space="0" w:color="000000"/>
              <w:right w:val="single" w:sz="12" w:space="0" w:color="000000"/>
            </w:tcBorders>
            <w:vAlign w:val="center"/>
          </w:tcPr>
          <w:p>
            <w:pPr>
              <w:pStyle w:val="Normal"/>
              <w:widowControl w:val="false"/>
              <w:jc w:val="center"/>
              <w:rPr>
                <w:b/>
                <w:b/>
              </w:rPr>
            </w:pPr>
            <w:r>
              <w:rPr>
                <w:b/>
              </w:rPr>
              <w:t>Projekta izstrāde un autoruzraudzība gājēju ietvei gar V125 Katvari -Ozoli autoceļa posmā Pociemu ielā no  Liepu ielas Pociemā līdz Pociema robežu zīmei.</w:t>
            </w:r>
          </w:p>
        </w:tc>
      </w:tr>
      <w:tr>
        <w:trPr>
          <w:trHeight w:val="599" w:hRule="atLeast"/>
        </w:trPr>
        <w:tc>
          <w:tcPr>
            <w:tcW w:w="848" w:type="dxa"/>
            <w:tcBorders>
              <w:top w:val="single" w:sz="12" w:space="0" w:color="000000"/>
              <w:left w:val="single" w:sz="12" w:space="0" w:color="000000"/>
              <w:bottom w:val="single" w:sz="6" w:space="0" w:color="000000"/>
              <w:right w:val="single" w:sz="6" w:space="0" w:color="000000"/>
            </w:tcBorders>
          </w:tcPr>
          <w:p>
            <w:pPr>
              <w:pStyle w:val="Normal"/>
              <w:widowControl w:val="false"/>
              <w:jc w:val="center"/>
              <w:rPr>
                <w:szCs w:val="20"/>
              </w:rPr>
            </w:pPr>
            <w:r>
              <w:rPr>
                <w:szCs w:val="20"/>
              </w:rPr>
              <w:t>1.</w:t>
            </w:r>
          </w:p>
        </w:tc>
        <w:tc>
          <w:tcPr>
            <w:tcW w:w="2411" w:type="dxa"/>
            <w:tcBorders>
              <w:top w:val="single" w:sz="12" w:space="0" w:color="000000"/>
              <w:left w:val="single" w:sz="6" w:space="0" w:color="000000"/>
              <w:bottom w:val="single" w:sz="6" w:space="0" w:color="000000"/>
              <w:right w:val="single" w:sz="6" w:space="0" w:color="000000"/>
            </w:tcBorders>
          </w:tcPr>
          <w:p>
            <w:pPr>
              <w:pStyle w:val="Normal"/>
              <w:widowControl w:val="false"/>
              <w:jc w:val="center"/>
              <w:rPr/>
            </w:pPr>
            <w:r>
              <w:rPr/>
              <w:t>Objekts</w:t>
            </w:r>
          </w:p>
        </w:tc>
        <w:tc>
          <w:tcPr>
            <w:tcW w:w="7310" w:type="dxa"/>
            <w:tcBorders>
              <w:top w:val="single" w:sz="12" w:space="0" w:color="000000"/>
              <w:left w:val="single" w:sz="6" w:space="0" w:color="000000"/>
              <w:bottom w:val="single" w:sz="6" w:space="0" w:color="000000"/>
              <w:right w:val="single" w:sz="12" w:space="0" w:color="000000"/>
            </w:tcBorders>
            <w:vAlign w:val="center"/>
          </w:tcPr>
          <w:p>
            <w:pPr>
              <w:pStyle w:val="Normal"/>
              <w:widowControl w:val="false"/>
              <w:rPr>
                <w:color w:val="00B0F0"/>
              </w:rPr>
            </w:pPr>
            <w:bookmarkStart w:id="2" w:name="_Hlk114563448"/>
            <w:r>
              <w:rPr/>
              <w:t xml:space="preserve">Būvprojekta izstrāde un autoruzraudzība gājēju ietvei gar Pociemu ielu autoceļa posmā V125 Katvari -Ozoli. No Liepu ielas līdz Pociema ciema robežu zīmei. </w:t>
            </w:r>
            <w:bookmarkEnd w:id="2"/>
          </w:p>
        </w:tc>
      </w:tr>
      <w:tr>
        <w:trPr>
          <w:trHeight w:val="599" w:hRule="atLeast"/>
        </w:trPr>
        <w:tc>
          <w:tcPr>
            <w:tcW w:w="848" w:type="dxa"/>
            <w:tcBorders>
              <w:top w:val="single" w:sz="12" w:space="0" w:color="000000"/>
              <w:left w:val="single" w:sz="12" w:space="0" w:color="000000"/>
              <w:bottom w:val="single" w:sz="6" w:space="0" w:color="000000"/>
              <w:right w:val="single" w:sz="6" w:space="0" w:color="000000"/>
            </w:tcBorders>
          </w:tcPr>
          <w:p>
            <w:pPr>
              <w:pStyle w:val="Normal"/>
              <w:widowControl w:val="false"/>
              <w:jc w:val="center"/>
              <w:rPr>
                <w:szCs w:val="20"/>
              </w:rPr>
            </w:pPr>
            <w:r>
              <w:rPr>
                <w:szCs w:val="20"/>
              </w:rPr>
              <w:t>2.</w:t>
            </w:r>
          </w:p>
        </w:tc>
        <w:tc>
          <w:tcPr>
            <w:tcW w:w="2411" w:type="dxa"/>
            <w:tcBorders>
              <w:top w:val="single" w:sz="12" w:space="0" w:color="000000"/>
              <w:left w:val="single" w:sz="6" w:space="0" w:color="000000"/>
              <w:bottom w:val="single" w:sz="6" w:space="0" w:color="000000"/>
              <w:right w:val="single" w:sz="6" w:space="0" w:color="000000"/>
            </w:tcBorders>
          </w:tcPr>
          <w:p>
            <w:pPr>
              <w:pStyle w:val="Normal"/>
              <w:widowControl w:val="false"/>
              <w:jc w:val="center"/>
              <w:rPr/>
            </w:pPr>
            <w:r>
              <w:rPr/>
              <w:t>Zemesgabala kadastra Nr., īpašnieks</w:t>
            </w:r>
          </w:p>
        </w:tc>
        <w:tc>
          <w:tcPr>
            <w:tcW w:w="7310" w:type="dxa"/>
            <w:tcBorders>
              <w:top w:val="single" w:sz="12" w:space="0" w:color="000000"/>
              <w:left w:val="single" w:sz="6" w:space="0" w:color="000000"/>
              <w:bottom w:val="single" w:sz="6" w:space="0" w:color="000000"/>
              <w:right w:val="single" w:sz="12" w:space="0" w:color="000000"/>
            </w:tcBorders>
            <w:vAlign w:val="center"/>
          </w:tcPr>
          <w:p>
            <w:pPr>
              <w:pStyle w:val="Normal"/>
              <w:widowControl w:val="false"/>
              <w:rPr/>
            </w:pPr>
            <w:r>
              <w:rPr/>
              <w:t>Īpašuma kadastra Nr.: 66520040388</w:t>
            </w:r>
          </w:p>
          <w:p>
            <w:pPr>
              <w:pStyle w:val="Normal"/>
              <w:widowControl w:val="false"/>
              <w:rPr/>
            </w:pPr>
            <w:r>
              <w:rPr/>
              <w:t>Īpašnieks: Valsts</w:t>
            </w:r>
          </w:p>
        </w:tc>
      </w:tr>
      <w:tr>
        <w:trPr>
          <w:trHeight w:val="409" w:hRule="atLeast"/>
        </w:trPr>
        <w:tc>
          <w:tcPr>
            <w:tcW w:w="848" w:type="dxa"/>
            <w:tcBorders>
              <w:top w:val="single" w:sz="6" w:space="0" w:color="000000"/>
              <w:left w:val="single" w:sz="12" w:space="0" w:color="000000"/>
              <w:bottom w:val="single" w:sz="6" w:space="0" w:color="000000"/>
              <w:right w:val="single" w:sz="6" w:space="0" w:color="000000"/>
            </w:tcBorders>
          </w:tcPr>
          <w:p>
            <w:pPr>
              <w:pStyle w:val="Normal"/>
              <w:widowControl w:val="false"/>
              <w:jc w:val="center"/>
              <w:rPr>
                <w:szCs w:val="20"/>
              </w:rPr>
            </w:pPr>
            <w:r>
              <w:rPr>
                <w:szCs w:val="20"/>
              </w:rPr>
              <w:t>3.</w:t>
            </w:r>
          </w:p>
        </w:tc>
        <w:tc>
          <w:tcPr>
            <w:tcW w:w="241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pPr>
            <w:r>
              <w:rPr/>
              <w:t>Pasūtītājs</w:t>
            </w:r>
          </w:p>
        </w:tc>
        <w:tc>
          <w:tcPr>
            <w:tcW w:w="7310" w:type="dxa"/>
            <w:tcBorders>
              <w:top w:val="single" w:sz="6" w:space="0" w:color="000000"/>
              <w:left w:val="single" w:sz="6" w:space="0" w:color="000000"/>
              <w:bottom w:val="single" w:sz="6" w:space="0" w:color="000000"/>
              <w:right w:val="single" w:sz="12" w:space="0" w:color="000000"/>
            </w:tcBorders>
          </w:tcPr>
          <w:p>
            <w:pPr>
              <w:pStyle w:val="Normal"/>
              <w:widowControl w:val="false"/>
              <w:rPr>
                <w:kern w:val="2"/>
              </w:rPr>
            </w:pPr>
            <w:r>
              <w:rPr/>
              <w:t xml:space="preserve">Limbažu novada pašvaldība, </w:t>
            </w:r>
            <w:r>
              <w:rPr>
                <w:kern w:val="2"/>
              </w:rPr>
              <w:t xml:space="preserve">Reģ. Nr. 90009114631, </w:t>
            </w:r>
          </w:p>
          <w:p>
            <w:pPr>
              <w:pStyle w:val="Normal"/>
              <w:widowControl w:val="false"/>
              <w:rPr/>
            </w:pPr>
            <w:r>
              <w:rPr>
                <w:kern w:val="2"/>
              </w:rPr>
              <w:t>Rīgas iela 16, Limbaži, Limbažu novads, LV 4001</w:t>
            </w:r>
          </w:p>
        </w:tc>
      </w:tr>
      <w:tr>
        <w:trPr>
          <w:trHeight w:val="409" w:hRule="atLeast"/>
        </w:trPr>
        <w:tc>
          <w:tcPr>
            <w:tcW w:w="848" w:type="dxa"/>
            <w:tcBorders>
              <w:top w:val="single" w:sz="6" w:space="0" w:color="000000"/>
              <w:left w:val="single" w:sz="12" w:space="0" w:color="000000"/>
              <w:bottom w:val="single" w:sz="6" w:space="0" w:color="000000"/>
              <w:right w:val="single" w:sz="6" w:space="0" w:color="000000"/>
            </w:tcBorders>
          </w:tcPr>
          <w:p>
            <w:pPr>
              <w:pStyle w:val="Normal"/>
              <w:widowControl w:val="false"/>
              <w:jc w:val="center"/>
              <w:rPr>
                <w:szCs w:val="20"/>
              </w:rPr>
            </w:pPr>
            <w:r>
              <w:rPr>
                <w:szCs w:val="20"/>
              </w:rPr>
              <w:t>4.</w:t>
            </w:r>
          </w:p>
        </w:tc>
        <w:tc>
          <w:tcPr>
            <w:tcW w:w="241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pPr>
            <w:r>
              <w:rPr/>
              <w:t>Objekta adrese</w:t>
            </w:r>
          </w:p>
        </w:tc>
        <w:tc>
          <w:tcPr>
            <w:tcW w:w="7310" w:type="dxa"/>
            <w:tcBorders>
              <w:top w:val="single" w:sz="6" w:space="0" w:color="000000"/>
              <w:left w:val="single" w:sz="6" w:space="0" w:color="000000"/>
              <w:bottom w:val="single" w:sz="6" w:space="0" w:color="000000"/>
              <w:right w:val="single" w:sz="12" w:space="0" w:color="000000"/>
            </w:tcBorders>
          </w:tcPr>
          <w:p>
            <w:pPr>
              <w:pStyle w:val="Normal"/>
              <w:widowControl w:val="false"/>
              <w:rPr/>
            </w:pPr>
            <w:r>
              <w:rPr/>
              <w:t>Valsts vietējā autoceļa V125 “Katvari- Ozoli” aptuveni  615m</w:t>
            </w:r>
          </w:p>
        </w:tc>
      </w:tr>
      <w:tr>
        <w:trPr/>
        <w:tc>
          <w:tcPr>
            <w:tcW w:w="848" w:type="dxa"/>
            <w:tcBorders>
              <w:top w:val="single" w:sz="6" w:space="0" w:color="000000"/>
              <w:left w:val="single" w:sz="12" w:space="0" w:color="000000"/>
              <w:bottom w:val="single" w:sz="6" w:space="0" w:color="000000"/>
              <w:right w:val="single" w:sz="6" w:space="0" w:color="000000"/>
            </w:tcBorders>
          </w:tcPr>
          <w:p>
            <w:pPr>
              <w:pStyle w:val="Normal"/>
              <w:widowControl w:val="false"/>
              <w:jc w:val="center"/>
              <w:rPr>
                <w:szCs w:val="20"/>
              </w:rPr>
            </w:pPr>
            <w:r>
              <w:rPr>
                <w:szCs w:val="20"/>
              </w:rPr>
              <w:t>5.</w:t>
            </w:r>
          </w:p>
        </w:tc>
        <w:tc>
          <w:tcPr>
            <w:tcW w:w="241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pPr>
            <w:r>
              <w:rPr/>
              <w:t>Projektēšanas uzdevumu mērķis/ sasniedzamais rezultāts</w:t>
            </w:r>
          </w:p>
        </w:tc>
        <w:tc>
          <w:tcPr>
            <w:tcW w:w="7310" w:type="dxa"/>
            <w:tcBorders>
              <w:top w:val="single" w:sz="6" w:space="0" w:color="000000"/>
              <w:left w:val="single" w:sz="6" w:space="0" w:color="000000"/>
              <w:bottom w:val="single" w:sz="6" w:space="0" w:color="000000"/>
              <w:right w:val="single" w:sz="12" w:space="0" w:color="000000"/>
            </w:tcBorders>
          </w:tcPr>
          <w:p>
            <w:pPr>
              <w:pStyle w:val="Normal"/>
              <w:widowControl w:val="false"/>
              <w:numPr>
                <w:ilvl w:val="0"/>
                <w:numId w:val="3"/>
              </w:numPr>
              <w:jc w:val="both"/>
              <w:rPr/>
            </w:pPr>
            <w:r>
              <w:rPr>
                <w:iCs/>
                <w:kern w:val="2"/>
              </w:rPr>
              <w:t>Projektēšanas darbi izpildāmi, atbilstoši līgumam, Latvijas valsts standartiem, Latvijas būvnormatīviem, tehniskajiem noteikumiem u.c. spēkā esošiem normatīvajiem aktiem;</w:t>
            </w:r>
            <w:r>
              <w:rPr>
                <w:rFonts w:cs="Tahoma"/>
                <w:iCs/>
                <w:kern w:val="2"/>
                <w:sz w:val="20"/>
                <w:szCs w:val="20"/>
              </w:rPr>
              <w:t xml:space="preserve"> </w:t>
            </w:r>
          </w:p>
          <w:p>
            <w:pPr>
              <w:pStyle w:val="Normal"/>
              <w:widowControl w:val="false"/>
              <w:numPr>
                <w:ilvl w:val="0"/>
                <w:numId w:val="3"/>
              </w:numPr>
              <w:jc w:val="both"/>
              <w:rPr/>
            </w:pPr>
            <w:r>
              <w:rPr/>
              <w:t>Tehniskās dokumentācijas izstrādei nepieciešamās izpētes Izpildītājs veic tādā apjomā, lai var pārliecināties un uzņemties atbildību par projekta risinājumu pamatotību;</w:t>
            </w:r>
          </w:p>
          <w:p>
            <w:pPr>
              <w:pStyle w:val="Normal"/>
              <w:widowControl w:val="false"/>
              <w:numPr>
                <w:ilvl w:val="0"/>
                <w:numId w:val="3"/>
              </w:numPr>
              <w:jc w:val="both"/>
              <w:rPr>
                <w:kern w:val="2"/>
              </w:rPr>
            </w:pPr>
            <w:r>
              <w:rPr>
                <w:kern w:val="2"/>
              </w:rPr>
              <w:t>Projektu izstrādāt uz aktuāla topogrāfiskā plāna vajadzīgajā apjomā;</w:t>
            </w:r>
          </w:p>
          <w:p>
            <w:pPr>
              <w:pStyle w:val="Normal"/>
              <w:widowControl w:val="false"/>
              <w:numPr>
                <w:ilvl w:val="0"/>
                <w:numId w:val="3"/>
              </w:numPr>
              <w:jc w:val="both"/>
              <w:rPr>
                <w:kern w:val="2"/>
              </w:rPr>
            </w:pPr>
            <w:r>
              <w:rPr>
                <w:kern w:val="2"/>
              </w:rPr>
              <w:t xml:space="preserve">Projektā paredzēt jaunas ietves izbūvi </w:t>
            </w:r>
            <w:r>
              <w:rPr/>
              <w:t xml:space="preserve"> </w:t>
            </w:r>
            <w:r>
              <w:rPr>
                <w:kern w:val="2"/>
              </w:rPr>
              <w:t>Valsts vietējā autoceļa V125 “Katvari- Ozoli” aptuveni no 9,240 km līdz 9,705 km nodalījumu joslā Pociemu ielas  posmā no Liepu ielas līdz Pociema pagasta robežai, saskaņā ar pielikumā Nr.1 attēloto shēmu;</w:t>
            </w:r>
            <w:r>
              <w:rPr>
                <w:color w:val="FF0000"/>
                <w:kern w:val="2"/>
              </w:rPr>
              <w:t xml:space="preserve">  </w:t>
            </w:r>
            <w:r>
              <w:rPr>
                <w:kern w:val="2"/>
              </w:rPr>
              <w:t>Jāiekļaujas ceļa  nodalījuma zemēs, un izvairīties no privāto īpašumu skaršanas.</w:t>
            </w:r>
          </w:p>
          <w:p>
            <w:pPr>
              <w:pStyle w:val="Normal"/>
              <w:widowControl w:val="false"/>
              <w:numPr>
                <w:ilvl w:val="0"/>
                <w:numId w:val="3"/>
              </w:numPr>
              <w:jc w:val="both"/>
              <w:rPr>
                <w:kern w:val="2"/>
              </w:rPr>
            </w:pPr>
            <w:r>
              <w:rPr>
                <w:kern w:val="2"/>
              </w:rPr>
              <w:t>Gājēju ietvi projektēt ceļa labā pusē, paredzot nepieciešamās gājēju pārejas, drošai un ērtai gājēju plūsmai;</w:t>
            </w:r>
          </w:p>
          <w:p>
            <w:pPr>
              <w:pStyle w:val="Normal"/>
              <w:widowControl w:val="false"/>
              <w:numPr>
                <w:ilvl w:val="0"/>
                <w:numId w:val="3"/>
              </w:numPr>
              <w:jc w:val="both"/>
              <w:rPr>
                <w:kern w:val="2"/>
              </w:rPr>
            </w:pPr>
            <w:r>
              <w:rPr>
                <w:kern w:val="2"/>
              </w:rPr>
              <w:t>Paredzēt esošo inženierkomunikāciju aizsardzības pasākumus vai to pārbūvi, ja tas tehniski nepieciešams vai to pamatoti pieprasa inženierkomunikāciju īpašnieks, turētājs u.t.m.l.</w:t>
            </w:r>
          </w:p>
          <w:p>
            <w:pPr>
              <w:pStyle w:val="Normal"/>
              <w:widowControl w:val="false"/>
              <w:numPr>
                <w:ilvl w:val="0"/>
                <w:numId w:val="3"/>
              </w:numPr>
              <w:jc w:val="both"/>
              <w:rPr>
                <w:kern w:val="2"/>
              </w:rPr>
            </w:pPr>
            <w:r>
              <w:rPr>
                <w:kern w:val="2"/>
              </w:rPr>
              <w:t>Koku saglabāšana/ciršana. Nepieciešams piesaistīt arboristu, kas izvērtēs koku saglabāšanas lietderību vai ciršanas iespējas.</w:t>
            </w:r>
          </w:p>
          <w:p>
            <w:pPr>
              <w:pStyle w:val="Normal"/>
              <w:widowControl w:val="false"/>
              <w:numPr>
                <w:ilvl w:val="0"/>
                <w:numId w:val="3"/>
              </w:numPr>
              <w:jc w:val="both"/>
              <w:rPr/>
            </w:pPr>
            <w:r>
              <w:rPr/>
              <w:t>Pievienot ietvi iebrauktuvēm un papildināt vai pārveidot piebrauktuves, ja tās neatbilst normatīviem. Pie iebrauktuvēm paredzēt slīpās nomales velosipēdistiem un ratiem;</w:t>
            </w:r>
          </w:p>
          <w:p>
            <w:pPr>
              <w:pStyle w:val="Normal"/>
              <w:widowControl w:val="false"/>
              <w:numPr>
                <w:ilvl w:val="0"/>
                <w:numId w:val="3"/>
              </w:numPr>
              <w:jc w:val="both"/>
              <w:rPr/>
            </w:pPr>
            <w:r>
              <w:rPr/>
              <w:t>Ietves izbūvei paredzēt betona bruģa segumu;</w:t>
            </w:r>
          </w:p>
          <w:p>
            <w:pPr>
              <w:pStyle w:val="Normal"/>
              <w:widowControl w:val="false"/>
              <w:numPr>
                <w:ilvl w:val="0"/>
                <w:numId w:val="3"/>
              </w:numPr>
              <w:jc w:val="both"/>
              <w:rPr/>
            </w:pPr>
            <w:r>
              <w:rPr/>
              <w:t>Ietves platumu paredzēt 1,5 m;</w:t>
            </w:r>
            <w:r>
              <w:rPr>
                <w:color w:val="FF0000"/>
              </w:rPr>
              <w:t xml:space="preserve"> </w:t>
            </w:r>
            <w:r>
              <w:rPr/>
              <w:t>(ar grants nomali )</w:t>
            </w:r>
          </w:p>
          <w:p>
            <w:pPr>
              <w:pStyle w:val="Normal"/>
              <w:widowControl w:val="false"/>
              <w:numPr>
                <w:ilvl w:val="0"/>
                <w:numId w:val="3"/>
              </w:numPr>
              <w:jc w:val="both"/>
              <w:rPr/>
            </w:pPr>
            <w:r>
              <w:rPr/>
              <w:t>Ietves nestspēju projektēt atbilstoši tīrīšanas tehnikas izmantošanai; Kopējais deformācijas modulis uz šķembu pamata Ev2&gt;80 MPa (kopējais minimālais platums tīrīšanas tehnikai 1,5 m)</w:t>
            </w:r>
          </w:p>
          <w:p>
            <w:pPr>
              <w:pStyle w:val="Normal"/>
              <w:widowControl w:val="false"/>
              <w:numPr>
                <w:ilvl w:val="0"/>
                <w:numId w:val="3"/>
              </w:numPr>
              <w:jc w:val="both"/>
              <w:rPr/>
            </w:pPr>
            <w:r>
              <w:rPr/>
              <w:t>Esošo ielu un ceļu daļas, kas tik skartas projektā, atjaunot atbilstoši esošajam segumam;</w:t>
            </w:r>
          </w:p>
          <w:p>
            <w:pPr>
              <w:pStyle w:val="Normal"/>
              <w:widowControl w:val="false"/>
              <w:numPr>
                <w:ilvl w:val="0"/>
                <w:numId w:val="3"/>
              </w:numPr>
              <w:jc w:val="both"/>
              <w:rPr/>
            </w:pPr>
            <w:r>
              <w:rPr/>
              <w:t>Paredzēt visas nepieciešamās informācijas un drošības zīmes;</w:t>
            </w:r>
          </w:p>
          <w:p>
            <w:pPr>
              <w:pStyle w:val="Normal"/>
              <w:widowControl w:val="false"/>
              <w:numPr>
                <w:ilvl w:val="0"/>
                <w:numId w:val="3"/>
              </w:numPr>
              <w:jc w:val="both"/>
              <w:rPr/>
            </w:pPr>
            <w:r>
              <w:rPr/>
              <w:t xml:space="preserve">Vietās, kur ietve pietuvojas lieliem grunts slīpumiem, paredzēt grunts balstīšanas konstrukcijas; </w:t>
            </w:r>
          </w:p>
          <w:p>
            <w:pPr>
              <w:pStyle w:val="Normal"/>
              <w:widowControl w:val="false"/>
              <w:numPr>
                <w:ilvl w:val="0"/>
                <w:numId w:val="3"/>
              </w:numPr>
              <w:jc w:val="both"/>
              <w:rPr/>
            </w:pPr>
            <w:r>
              <w:rPr/>
              <w:t>Ja ietves izbūvei paredzama grāvju aizbēršana, nodrošināt, ka projekta risinājumi nepasliktina esošās ceļa konstrukcijas ūdensatvadi un nestspēju, kā arī izvērtēt drenāžas nepieciešamību un atbilstošu caurteku izbūvi;</w:t>
            </w:r>
          </w:p>
          <w:p>
            <w:pPr>
              <w:pStyle w:val="Normal"/>
              <w:widowControl w:val="false"/>
              <w:numPr>
                <w:ilvl w:val="0"/>
                <w:numId w:val="3"/>
              </w:numPr>
              <w:jc w:val="both"/>
              <w:rPr/>
            </w:pPr>
            <w:r>
              <w:rPr/>
              <w:t>Nodrošināt projektējamās teritorijas zonā augošo koku maksimālu aizsardzību un saglabāšanu. Pēc darbu pabeigšanas atjaunot apzaļojumu un utilizēt visus būvniecības pārpalikumus un atkritumus;</w:t>
            </w:r>
          </w:p>
          <w:p>
            <w:pPr>
              <w:pStyle w:val="Normal"/>
              <w:widowControl w:val="false"/>
              <w:numPr>
                <w:ilvl w:val="0"/>
                <w:numId w:val="3"/>
              </w:numPr>
              <w:jc w:val="both"/>
              <w:rPr/>
            </w:pPr>
            <w:r>
              <w:rPr>
                <w:kern w:val="2"/>
              </w:rPr>
              <w:t>Veikt tehniskās dokumentācijas prezentāciju, jebkurā tā izstrādes stadijā, ja to pieprasījis Pasūtītājs; Projektēšanas laikā iesniegt starpziņojumu, kurā prezentē piedāvātos risinājumus. Starpziņojuma sastāvā iekļaujami arī tehniskie noteikumi no inženierkomunikāciju turētājiem.</w:t>
            </w:r>
            <w:r>
              <w:rPr>
                <w:color w:val="FF0000"/>
                <w:kern w:val="2"/>
              </w:rPr>
              <w:t xml:space="preserve"> </w:t>
            </w:r>
            <w:r>
              <w:rPr>
                <w:kern w:val="2"/>
              </w:rPr>
              <w:t>Pasūtītājs izskata un apstiprina, vai noraida, kā arī dod norādījumus turpmākai projekta izstrādei</w:t>
            </w:r>
            <w:r>
              <w:rPr>
                <w:color w:val="FF0000"/>
                <w:kern w:val="2"/>
              </w:rPr>
              <w:t>.</w:t>
            </w:r>
          </w:p>
          <w:p>
            <w:pPr>
              <w:pStyle w:val="Normal"/>
              <w:widowControl w:val="false"/>
              <w:numPr>
                <w:ilvl w:val="0"/>
                <w:numId w:val="3"/>
              </w:numPr>
              <w:jc w:val="both"/>
              <w:rPr/>
            </w:pPr>
            <w:r>
              <w:rPr>
                <w:kern w:val="2"/>
              </w:rPr>
              <w:t>Tehniskas dokumentācijas sastāvs un rasējumi atbilstoši Vispārīgiem būvnoteikumiem, ieskaitot darbu apjomus un tāmes, darbu organizācijas projektu un darba aizsardzības sadaļu;</w:t>
            </w:r>
          </w:p>
          <w:p>
            <w:pPr>
              <w:pStyle w:val="Normal"/>
              <w:widowControl w:val="false"/>
              <w:numPr>
                <w:ilvl w:val="0"/>
                <w:numId w:val="3"/>
              </w:numPr>
              <w:jc w:val="both"/>
              <w:rPr/>
            </w:pPr>
            <w:r>
              <w:rPr>
                <w:kern w:val="2"/>
              </w:rPr>
              <w:t xml:space="preserve">Saskaņot būvprojektu ar ieinteresētajām institūcijām un </w:t>
            </w:r>
            <w:r>
              <w:rPr>
                <w:color w:val="000000"/>
                <w:kern w:val="2"/>
              </w:rPr>
              <w:t>Pasūtītāju</w:t>
            </w:r>
            <w:r>
              <w:rPr>
                <w:kern w:val="2"/>
              </w:rPr>
              <w:t>;</w:t>
            </w:r>
          </w:p>
          <w:p>
            <w:pPr>
              <w:pStyle w:val="Normal"/>
              <w:widowControl w:val="false"/>
              <w:numPr>
                <w:ilvl w:val="0"/>
                <w:numId w:val="3"/>
              </w:numPr>
              <w:jc w:val="both"/>
              <w:rPr/>
            </w:pPr>
            <w:r>
              <w:rPr>
                <w:rFonts w:cs="Tahoma"/>
                <w:kern w:val="2"/>
              </w:rPr>
              <w:t xml:space="preserve">Pasūtītājs nodrošina deleģējumu Izpildītājam visu nepieciešamo darbību veikšanai Būvniecības informācijas sistēmā; </w:t>
            </w:r>
          </w:p>
          <w:p>
            <w:pPr>
              <w:pStyle w:val="Normal"/>
              <w:widowControl w:val="false"/>
              <w:numPr>
                <w:ilvl w:val="0"/>
                <w:numId w:val="3"/>
              </w:numPr>
              <w:jc w:val="both"/>
              <w:rPr/>
            </w:pPr>
            <w:r>
              <w:rPr/>
              <w:t>Tehniskas dokumentācijas saskaņošanu ar trešajām personām veic Izpildītājs;</w:t>
            </w:r>
          </w:p>
          <w:p>
            <w:pPr>
              <w:pStyle w:val="Normal"/>
              <w:widowControl w:val="false"/>
              <w:numPr>
                <w:ilvl w:val="0"/>
                <w:numId w:val="3"/>
              </w:numPr>
              <w:jc w:val="both"/>
              <w:rPr/>
            </w:pPr>
            <w:r>
              <w:rPr>
                <w:kern w:val="2"/>
              </w:rPr>
              <w:t>Pēc būvprojekta izstrādes saņemt atzinumu no Būvvaldes par projektēšanas nosacījumu izpildi;</w:t>
            </w:r>
          </w:p>
          <w:p>
            <w:pPr>
              <w:pStyle w:val="Normal"/>
              <w:widowControl w:val="false"/>
              <w:numPr>
                <w:ilvl w:val="0"/>
                <w:numId w:val="3"/>
              </w:numPr>
              <w:jc w:val="both"/>
              <w:rPr/>
            </w:pPr>
            <w:r>
              <w:rPr/>
              <w:t xml:space="preserve">Izmaksu aprēķins (tāme) noformējams atbilstoši 2017. gada 3. maija Ministru kabineta noteikumu Nr.239 </w:t>
            </w:r>
            <w:r>
              <w:rPr>
                <w:i/>
                <w:iCs/>
              </w:rPr>
              <w:t>Noteikumi par Latvijas būvnormatīvu LBN 501-17 "</w:t>
            </w:r>
            <w:r>
              <w:rPr>
                <w:b/>
                <w:bCs/>
                <w:i/>
                <w:iCs/>
              </w:rPr>
              <w:t>Būvizmaksu noteikšanas kārtība</w:t>
            </w:r>
            <w:r>
              <w:rPr>
                <w:i/>
                <w:iCs/>
              </w:rPr>
              <w:t>"</w:t>
            </w:r>
            <w:r>
              <w:rPr/>
              <w:t xml:space="preserve"> prasībām; </w:t>
            </w:r>
          </w:p>
          <w:p>
            <w:pPr>
              <w:pStyle w:val="Normal"/>
              <w:widowControl w:val="false"/>
              <w:numPr>
                <w:ilvl w:val="0"/>
                <w:numId w:val="3"/>
              </w:numPr>
              <w:jc w:val="both"/>
              <w:rPr/>
            </w:pPr>
            <w:r>
              <w:rPr/>
              <w:t>Projektēšanu veikt 4 (četru) mēnešu laikā no līguma noslēgšanas brīža</w:t>
            </w:r>
          </w:p>
          <w:p>
            <w:pPr>
              <w:pStyle w:val="Normal"/>
              <w:widowControl w:val="false"/>
              <w:numPr>
                <w:ilvl w:val="0"/>
                <w:numId w:val="3"/>
              </w:numPr>
              <w:jc w:val="both"/>
              <w:rPr>
                <w:rStyle w:val="Noklusjumarindkopasfonts2"/>
              </w:rPr>
            </w:pPr>
            <w:r>
              <w:rPr/>
              <w:t xml:space="preserve">Autoruzraudzība veicama visā būvdarbu izpildes laikā – no būvdarbu līguma noslēgšanas dienas līdz objekta nodošanai ekspluatācijā. Plānotais būvdarbu izpildes termiņš ir </w:t>
            </w:r>
            <w:r>
              <w:rPr>
                <w:b/>
              </w:rPr>
              <w:t>2 (divi) mēneši.</w:t>
            </w:r>
          </w:p>
          <w:p>
            <w:pPr>
              <w:pStyle w:val="Normal"/>
              <w:widowControl w:val="false"/>
              <w:numPr>
                <w:ilvl w:val="0"/>
                <w:numId w:val="3"/>
              </w:numPr>
              <w:jc w:val="both"/>
              <w:rPr/>
            </w:pPr>
            <w:r>
              <w:rPr/>
            </w:r>
          </w:p>
        </w:tc>
      </w:tr>
      <w:tr>
        <w:trPr/>
        <w:tc>
          <w:tcPr>
            <w:tcW w:w="848" w:type="dxa"/>
            <w:tcBorders>
              <w:top w:val="single" w:sz="12" w:space="0" w:color="000000"/>
              <w:left w:val="single" w:sz="12" w:space="0" w:color="000000"/>
              <w:bottom w:val="single" w:sz="6" w:space="0" w:color="000000"/>
              <w:right w:val="single" w:sz="6" w:space="0" w:color="000000"/>
            </w:tcBorders>
          </w:tcPr>
          <w:p>
            <w:pPr>
              <w:pStyle w:val="Normal"/>
              <w:widowControl w:val="false"/>
              <w:jc w:val="center"/>
              <w:rPr>
                <w:szCs w:val="20"/>
              </w:rPr>
            </w:pPr>
            <w:r>
              <w:rPr>
                <w:szCs w:val="20"/>
              </w:rPr>
              <w:t>6.</w:t>
            </w:r>
          </w:p>
        </w:tc>
        <w:tc>
          <w:tcPr>
            <w:tcW w:w="2411" w:type="dxa"/>
            <w:tcBorders>
              <w:top w:val="single" w:sz="12" w:space="0" w:color="000000"/>
              <w:left w:val="single" w:sz="6" w:space="0" w:color="000000"/>
              <w:bottom w:val="single" w:sz="6" w:space="0" w:color="000000"/>
              <w:right w:val="single" w:sz="6" w:space="0" w:color="000000"/>
            </w:tcBorders>
          </w:tcPr>
          <w:p>
            <w:pPr>
              <w:pStyle w:val="Normal"/>
              <w:widowControl w:val="false"/>
              <w:rPr/>
            </w:pPr>
            <w:r>
              <w:rPr/>
              <w:t>Pasūtītājam iesniedzams</w:t>
            </w:r>
          </w:p>
        </w:tc>
        <w:tc>
          <w:tcPr>
            <w:tcW w:w="7310" w:type="dxa"/>
            <w:tcBorders>
              <w:top w:val="single" w:sz="12" w:space="0" w:color="000000"/>
              <w:left w:val="single" w:sz="6" w:space="0" w:color="000000"/>
              <w:bottom w:val="single" w:sz="6" w:space="0" w:color="000000"/>
              <w:right w:val="single" w:sz="12" w:space="0" w:color="000000"/>
            </w:tcBorders>
            <w:vAlign w:val="center"/>
          </w:tcPr>
          <w:p>
            <w:pPr>
              <w:pStyle w:val="Normal"/>
              <w:widowControl w:val="false"/>
              <w:numPr>
                <w:ilvl w:val="0"/>
                <w:numId w:val="4"/>
              </w:numPr>
              <w:jc w:val="both"/>
              <w:rPr>
                <w:b/>
                <w:b/>
                <w:bCs/>
              </w:rPr>
            </w:pPr>
            <w:r>
              <w:rPr>
                <w:b/>
                <w:bCs/>
              </w:rPr>
              <w:t xml:space="preserve">Projekta dokumentācija – </w:t>
            </w:r>
            <w:r>
              <w:rPr/>
              <w:t>BIS sistēmā</w:t>
            </w:r>
          </w:p>
          <w:p>
            <w:pPr>
              <w:pStyle w:val="Normal"/>
              <w:widowControl w:val="false"/>
              <w:numPr>
                <w:ilvl w:val="0"/>
                <w:numId w:val="4"/>
              </w:numPr>
              <w:jc w:val="both"/>
              <w:rPr/>
            </w:pPr>
            <w:r>
              <w:rPr>
                <w:b/>
                <w:kern w:val="2"/>
              </w:rPr>
              <w:t xml:space="preserve">būvniecības tāmes </w:t>
            </w:r>
            <w:r>
              <w:rPr>
                <w:kern w:val="2"/>
              </w:rPr>
              <w:t xml:space="preserve">– 1 (vienā) eksemplārā </w:t>
            </w:r>
            <w:r>
              <w:rPr/>
              <w:t>Būvprojektam jāpievieno būvniecības tāmes, atbilstoši LBN un aktuālajām 2023. gada būvniecības izmaksām, kā arī jāiesniedz elektroniski EXCEL formātā.</w:t>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sectPr>
          <w:type w:val="nextPage"/>
          <w:pgSz w:w="11906" w:h="16838"/>
          <w:pgMar w:left="560" w:right="711" w:gutter="0" w:header="0" w:top="860" w:footer="0" w:bottom="280"/>
          <w:pgNumType w:fmt="decimal"/>
          <w:formProt w:val="false"/>
          <w:textDirection w:val="lrTb"/>
          <w:docGrid w:type="default" w:linePitch="100" w:charSpace="0"/>
        </w:sectPr>
        <w:pStyle w:val="Parasts2"/>
        <w:suppressAutoHyphens w:val="false"/>
        <w:textAlignment w:val="auto"/>
        <w:rPr>
          <w:b/>
          <w:b/>
          <w:bCs/>
        </w:rPr>
      </w:pPr>
      <w:r>
        <w:rPr>
          <w:b/>
          <w:bCs/>
        </w:rPr>
      </w:r>
    </w:p>
    <w:p>
      <w:pPr>
        <w:pStyle w:val="Normal"/>
        <w:rPr>
          <w:sz w:val="14"/>
        </w:rPr>
      </w:pPr>
      <w:r>
        <w:rPr>
          <w:sz w:val="14"/>
        </w:rPr>
      </w:r>
    </w:p>
    <w:p>
      <w:pPr>
        <w:pStyle w:val="Parasts2"/>
        <w:suppressAutoHyphens w:val="false"/>
        <w:jc w:val="right"/>
        <w:textAlignment w:val="auto"/>
        <w:rPr>
          <w:b/>
          <w:b/>
          <w:bCs/>
        </w:rPr>
      </w:pPr>
      <w:r>
        <w:rPr>
          <w:b/>
          <w:bCs/>
        </w:rPr>
        <w:t>Pielikums Nr. 2</w:t>
      </w:r>
    </w:p>
    <w:p>
      <w:pPr>
        <w:pStyle w:val="Parasts2"/>
        <w:suppressAutoHyphens w:val="false"/>
        <w:jc w:val="right"/>
        <w:textAlignment w:val="auto"/>
        <w:rPr>
          <w:bCs/>
        </w:rPr>
      </w:pPr>
      <w:r>
        <w:rPr>
          <w:bCs/>
        </w:rPr>
      </w:r>
    </w:p>
    <w:p>
      <w:pPr>
        <w:pStyle w:val="Parasts2"/>
        <w:suppressAutoHyphens w:val="false"/>
        <w:jc w:val="right"/>
        <w:textAlignment w:val="auto"/>
        <w:rPr>
          <w:bCs/>
          <w:sz w:val="23"/>
          <w:szCs w:val="23"/>
          <w:lang w:eastAsia="ar-SA"/>
        </w:rPr>
      </w:pPr>
      <w:r>
        <w:rPr>
          <w:bCs/>
        </w:rPr>
        <w:t xml:space="preserve">Cenu aptaujas  </w:t>
      </w:r>
      <w:r>
        <w:rPr>
          <w:b/>
          <w:bCs/>
          <w:sz w:val="23"/>
          <w:szCs w:val="23"/>
          <w:lang w:eastAsia="ar-SA"/>
        </w:rPr>
        <w:t>“</w:t>
      </w:r>
      <w:r>
        <w:rPr>
          <w:b/>
        </w:rPr>
        <w:t>Gājēju ietves gar Valsts vietējo autoceļu V125 Katvari - Ozoli projektēšana un autoruzraudzība būvdarbu laikā</w:t>
      </w:r>
      <w:r>
        <w:rPr>
          <w:b/>
          <w:bCs/>
          <w:sz w:val="23"/>
          <w:szCs w:val="23"/>
          <w:lang w:eastAsia="ar-SA"/>
        </w:rPr>
        <w:t>”</w:t>
      </w:r>
    </w:p>
    <w:p>
      <w:pPr>
        <w:pStyle w:val="Parasts2"/>
        <w:suppressAutoHyphens w:val="false"/>
        <w:textAlignment w:val="auto"/>
        <w:rPr/>
      </w:pPr>
      <w:r>
        <w:rPr/>
      </w:r>
    </w:p>
    <w:p>
      <w:pPr>
        <w:pStyle w:val="Normal"/>
        <w:spacing w:lineRule="auto" w:line="259"/>
        <w:jc w:val="center"/>
        <w:rPr>
          <w:sz w:val="26"/>
          <w:szCs w:val="26"/>
        </w:rPr>
      </w:pPr>
      <w:r>
        <w:rPr>
          <w:b/>
          <w:sz w:val="26"/>
          <w:szCs w:val="26"/>
        </w:rPr>
        <w:t>PIEDĀVĀJUMA VEIDLAPA</w:t>
      </w:r>
    </w:p>
    <w:p>
      <w:pPr>
        <w:pStyle w:val="Normal"/>
        <w:rPr>
          <w:sz w:val="26"/>
          <w:szCs w:val="26"/>
        </w:rPr>
      </w:pPr>
      <w:r>
        <w:rPr>
          <w:b/>
          <w:sz w:val="26"/>
          <w:szCs w:val="26"/>
        </w:rPr>
        <w:t xml:space="preserve">__.__.2023. /  Nr. </w:t>
      </w:r>
    </w:p>
    <w:p>
      <w:pPr>
        <w:pStyle w:val="Normal"/>
        <w:jc w:val="both"/>
        <w:rPr>
          <w:b/>
          <w:b/>
          <w:bCs/>
          <w:i/>
          <w:i/>
          <w:iCs/>
          <w:lang w:eastAsia="ar-SA"/>
        </w:rPr>
      </w:pPr>
      <w:r>
        <w:rPr>
          <w:b/>
          <w:sz w:val="26"/>
          <w:szCs w:val="26"/>
        </w:rPr>
        <w:tab/>
      </w:r>
      <w:r>
        <w:rPr>
          <w:b/>
        </w:rPr>
        <w:t xml:space="preserve">Pamatojoties uz saņemto uzaicinājumu, iesniedzam piedāvājumu cenu aptaujai </w:t>
      </w:r>
      <w:r>
        <w:rPr>
          <w:b/>
          <w:bCs/>
        </w:rPr>
        <w:t>“</w:t>
      </w:r>
      <w:r>
        <w:rPr>
          <w:b/>
        </w:rPr>
        <w:t>Gājēju ietves gar Valsts vietējo autoceļu V125 Katvari - Ozoli projektēšana un autoruzraudzība būvdarbu laikā</w:t>
      </w:r>
      <w:r>
        <w:rPr>
          <w:b/>
          <w:bCs/>
          <w:i/>
          <w:iCs/>
          <w:lang w:eastAsia="ar-SA"/>
        </w:rPr>
        <w:t>”</w:t>
      </w:r>
    </w:p>
    <w:p>
      <w:pPr>
        <w:pStyle w:val="Normal"/>
        <w:jc w:val="both"/>
        <w:rPr/>
      </w:pPr>
      <w:r>
        <w:rPr>
          <w:b/>
          <w:bCs/>
          <w:caps/>
        </w:rPr>
        <w:t>1. INFORMĀCIJA PAR PRETENDENTU</w:t>
      </w:r>
    </w:p>
    <w:tbl>
      <w:tblPr>
        <w:tblW w:w="9690" w:type="dxa"/>
        <w:jc w:val="left"/>
        <w:tblInd w:w="108" w:type="dxa"/>
        <w:tblLayout w:type="fixed"/>
        <w:tblCellMar>
          <w:top w:w="0" w:type="dxa"/>
          <w:left w:w="108" w:type="dxa"/>
          <w:bottom w:w="0" w:type="dxa"/>
          <w:right w:w="108" w:type="dxa"/>
        </w:tblCellMar>
        <w:tblLook w:firstRow="1" w:noVBand="0" w:lastRow="0" w:firstColumn="1" w:lastColumn="0" w:noHBand="0" w:val="00a0"/>
      </w:tblPr>
      <w:tblGrid>
        <w:gridCol w:w="3238"/>
        <w:gridCol w:w="6451"/>
      </w:tblGrid>
      <w:tr>
        <w:trPr>
          <w:trHeight w:val="576" w:hRule="atLeast"/>
        </w:trPr>
        <w:tc>
          <w:tcPr>
            <w:tcW w:w="3238" w:type="dxa"/>
            <w:tcBorders>
              <w:top w:val="single" w:sz="4" w:space="0" w:color="000000"/>
              <w:left w:val="single" w:sz="4" w:space="0" w:color="000000"/>
              <w:bottom w:val="single" w:sz="4" w:space="0" w:color="000000"/>
            </w:tcBorders>
            <w:shd w:color="auto" w:fill="FFFFFF" w:themeFill="background1" w:val="clear"/>
            <w:vAlign w:val="center"/>
          </w:tcPr>
          <w:p>
            <w:pPr>
              <w:pStyle w:val="Normal"/>
              <w:widowControl w:val="false"/>
              <w:snapToGrid w:val="false"/>
              <w:rPr/>
            </w:pPr>
            <w:r>
              <w:rPr>
                <w:b/>
              </w:rPr>
              <w:t>Pretendenta nosaukums</w:t>
            </w:r>
          </w:p>
          <w:p>
            <w:pPr>
              <w:pStyle w:val="Normal"/>
              <w:widowControl w:val="false"/>
              <w:snapToGrid w:val="false"/>
              <w:rPr/>
            </w:pPr>
            <w:r>
              <w:rPr>
                <w:b/>
              </w:rPr>
              <w:t>vai vārds, uzvārds</w:t>
            </w:r>
          </w:p>
        </w:tc>
        <w:tc>
          <w:tcPr>
            <w:tcW w:w="645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120" w:after="0"/>
              <w:jc w:val="center"/>
              <w:rPr>
                <w:bCs/>
              </w:rPr>
            </w:pPr>
            <w:r>
              <w:rPr>
                <w:bCs/>
              </w:rPr>
            </w:r>
          </w:p>
        </w:tc>
      </w:tr>
      <w:tr>
        <w:trPr>
          <w:trHeight w:val="180" w:hRule="atLeast"/>
        </w:trPr>
        <w:tc>
          <w:tcPr>
            <w:tcW w:w="3238" w:type="dxa"/>
            <w:tcBorders>
              <w:top w:val="single" w:sz="4" w:space="0" w:color="000000"/>
              <w:left w:val="single" w:sz="4" w:space="0" w:color="000000"/>
              <w:bottom w:val="single" w:sz="4" w:space="0" w:color="000000"/>
            </w:tcBorders>
            <w:shd w:color="auto" w:fill="FFFFFF" w:themeFill="background1" w:val="clear"/>
            <w:vAlign w:val="center"/>
          </w:tcPr>
          <w:p>
            <w:pPr>
              <w:pStyle w:val="Normal"/>
              <w:widowControl w:val="false"/>
              <w:snapToGrid w:val="false"/>
              <w:rPr/>
            </w:pPr>
            <w:r>
              <w:rPr>
                <w:b/>
              </w:rPr>
              <w:t>Reģistrācijas Nr.</w:t>
            </w:r>
          </w:p>
          <w:p>
            <w:pPr>
              <w:pStyle w:val="Normal"/>
              <w:widowControl w:val="false"/>
              <w:snapToGrid w:val="false"/>
              <w:rPr/>
            </w:pPr>
            <w:r>
              <w:rPr>
                <w:b/>
              </w:rPr>
              <w:t>vai personas kods</w:t>
            </w:r>
          </w:p>
        </w:tc>
        <w:tc>
          <w:tcPr>
            <w:tcW w:w="645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120" w:after="0"/>
              <w:jc w:val="center"/>
              <w:rPr>
                <w:bCs/>
              </w:rPr>
            </w:pPr>
            <w:r>
              <w:rPr>
                <w:bCs/>
              </w:rPr>
            </w:r>
          </w:p>
        </w:tc>
      </w:tr>
      <w:tr>
        <w:trPr>
          <w:trHeight w:val="180" w:hRule="atLeast"/>
        </w:trPr>
        <w:tc>
          <w:tcPr>
            <w:tcW w:w="3238" w:type="dxa"/>
            <w:tcBorders>
              <w:left w:val="single" w:sz="4" w:space="0" w:color="000000"/>
              <w:bottom w:val="single" w:sz="4" w:space="0" w:color="000000"/>
            </w:tcBorders>
            <w:shd w:color="auto" w:fill="auto" w:val="clear"/>
            <w:vAlign w:val="center"/>
          </w:tcPr>
          <w:p>
            <w:pPr>
              <w:pStyle w:val="Normal"/>
              <w:widowControl w:val="false"/>
              <w:rPr>
                <w:b/>
                <w:b/>
              </w:rPr>
            </w:pPr>
            <w:r>
              <w:rPr>
                <w:b/>
              </w:rPr>
              <w:t xml:space="preserve">Būvkomersanta reģistrācijas numurs </w:t>
            </w:r>
          </w:p>
          <w:p>
            <w:pPr>
              <w:pStyle w:val="Normal"/>
              <w:widowControl w:val="false"/>
              <w:rPr>
                <w:shd w:fill="FFFF00" w:val="clear"/>
              </w:rPr>
            </w:pPr>
            <w:r>
              <w:rPr>
                <w:b/>
              </w:rPr>
              <w:t>vai būvspeciālista sertifikāta Nr.</w:t>
            </w:r>
          </w:p>
        </w:tc>
        <w:tc>
          <w:tcPr>
            <w:tcW w:w="6451" w:type="dxa"/>
            <w:tcBorders>
              <w:left w:val="single" w:sz="4" w:space="0" w:color="000000"/>
              <w:bottom w:val="single" w:sz="4" w:space="0" w:color="000000"/>
              <w:right w:val="single" w:sz="4" w:space="0" w:color="000000"/>
            </w:tcBorders>
          </w:tcPr>
          <w:p>
            <w:pPr>
              <w:pStyle w:val="Normal"/>
              <w:widowControl w:val="false"/>
              <w:snapToGrid w:val="false"/>
              <w:spacing w:before="120" w:after="0"/>
              <w:jc w:val="center"/>
              <w:rPr>
                <w:bCs/>
              </w:rPr>
            </w:pPr>
            <w:r>
              <w:rPr>
                <w:bCs/>
              </w:rPr>
            </w:r>
          </w:p>
        </w:tc>
      </w:tr>
      <w:tr>
        <w:trPr>
          <w:trHeight w:val="180" w:hRule="atLeast"/>
        </w:trPr>
        <w:tc>
          <w:tcPr>
            <w:tcW w:w="3238" w:type="dxa"/>
            <w:tcBorders>
              <w:top w:val="single" w:sz="4" w:space="0" w:color="000000"/>
              <w:left w:val="single" w:sz="4" w:space="0" w:color="000000"/>
              <w:bottom w:val="single" w:sz="4" w:space="0" w:color="000000"/>
            </w:tcBorders>
            <w:shd w:color="auto" w:fill="FFFFFF" w:themeFill="background1" w:val="clear"/>
            <w:vAlign w:val="center"/>
          </w:tcPr>
          <w:p>
            <w:pPr>
              <w:pStyle w:val="Normal"/>
              <w:widowControl w:val="false"/>
              <w:snapToGrid w:val="false"/>
              <w:rPr/>
            </w:pPr>
            <w:r>
              <w:rPr>
                <w:b/>
              </w:rPr>
              <w:t>Pretendenta bankas rekvizīti</w:t>
            </w:r>
          </w:p>
        </w:tc>
        <w:tc>
          <w:tcPr>
            <w:tcW w:w="645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120" w:after="0"/>
              <w:jc w:val="center"/>
              <w:rPr>
                <w:bCs/>
              </w:rPr>
            </w:pPr>
            <w:r>
              <w:rPr>
                <w:bCs/>
              </w:rPr>
            </w:r>
          </w:p>
        </w:tc>
      </w:tr>
      <w:tr>
        <w:trPr>
          <w:trHeight w:val="158" w:hRule="atLeast"/>
        </w:trPr>
        <w:tc>
          <w:tcPr>
            <w:tcW w:w="3238" w:type="dxa"/>
            <w:tcBorders>
              <w:top w:val="single" w:sz="4" w:space="0" w:color="000000"/>
              <w:left w:val="single" w:sz="4" w:space="0" w:color="000000"/>
              <w:bottom w:val="single" w:sz="4" w:space="0" w:color="000000"/>
            </w:tcBorders>
            <w:shd w:color="auto" w:fill="FFFFFF" w:themeFill="background1" w:val="clear"/>
            <w:vAlign w:val="center"/>
          </w:tcPr>
          <w:p>
            <w:pPr>
              <w:pStyle w:val="Normal"/>
              <w:widowControl w:val="false"/>
              <w:snapToGrid w:val="false"/>
              <w:spacing w:before="120" w:after="0"/>
              <w:rPr/>
            </w:pPr>
            <w:r>
              <w:rPr>
                <w:b/>
              </w:rPr>
              <w:t>Adrese</w:t>
            </w:r>
          </w:p>
        </w:tc>
        <w:tc>
          <w:tcPr>
            <w:tcW w:w="645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120" w:after="0"/>
              <w:jc w:val="center"/>
              <w:rPr>
                <w:bCs/>
              </w:rPr>
            </w:pPr>
            <w:r>
              <w:rPr>
                <w:bCs/>
              </w:rPr>
            </w:r>
          </w:p>
        </w:tc>
      </w:tr>
      <w:tr>
        <w:trPr>
          <w:trHeight w:val="160" w:hRule="atLeast"/>
        </w:trPr>
        <w:tc>
          <w:tcPr>
            <w:tcW w:w="3238" w:type="dxa"/>
            <w:tcBorders>
              <w:top w:val="single" w:sz="4" w:space="0" w:color="000000"/>
              <w:left w:val="single" w:sz="4" w:space="0" w:color="000000"/>
              <w:bottom w:val="single" w:sz="4" w:space="0" w:color="000000"/>
            </w:tcBorders>
            <w:shd w:color="auto" w:fill="FFFFFF" w:themeFill="background1" w:val="clear"/>
            <w:vAlign w:val="center"/>
          </w:tcPr>
          <w:p>
            <w:pPr>
              <w:pStyle w:val="Normal"/>
              <w:widowControl w:val="false"/>
              <w:snapToGrid w:val="false"/>
              <w:spacing w:before="120" w:after="0"/>
              <w:rPr/>
            </w:pPr>
            <w:r>
              <w:rPr>
                <w:b/>
              </w:rPr>
              <w:t>Tālrunis</w:t>
            </w:r>
          </w:p>
        </w:tc>
        <w:tc>
          <w:tcPr>
            <w:tcW w:w="645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120" w:after="0"/>
              <w:jc w:val="center"/>
              <w:rPr>
                <w:bCs/>
              </w:rPr>
            </w:pPr>
            <w:r>
              <w:rPr>
                <w:bCs/>
              </w:rPr>
            </w:r>
          </w:p>
        </w:tc>
      </w:tr>
      <w:tr>
        <w:trPr>
          <w:trHeight w:val="1183" w:hRule="atLeast"/>
        </w:trPr>
        <w:tc>
          <w:tcPr>
            <w:tcW w:w="3238" w:type="dxa"/>
            <w:tcBorders>
              <w:top w:val="single" w:sz="4" w:space="0" w:color="000000"/>
              <w:left w:val="single" w:sz="4" w:space="0" w:color="000000"/>
              <w:bottom w:val="single" w:sz="4" w:space="0" w:color="000000"/>
            </w:tcBorders>
            <w:shd w:color="auto" w:fill="FFFFFF" w:themeFill="background1" w:val="clear"/>
            <w:vAlign w:val="center"/>
          </w:tcPr>
          <w:p>
            <w:pPr>
              <w:pStyle w:val="Normal"/>
              <w:widowControl w:val="false"/>
              <w:snapToGrid w:val="false"/>
              <w:spacing w:before="120" w:after="0"/>
              <w:rPr/>
            </w:pPr>
            <w:r>
              <w:rPr>
                <w:b/>
              </w:rPr>
              <w:t>Par līguma izpildi atbildīgās personas vārds, uzvārds, tālr. Nr., e-pasta adrese</w:t>
            </w:r>
          </w:p>
        </w:tc>
        <w:tc>
          <w:tcPr>
            <w:tcW w:w="645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120" w:after="0"/>
              <w:jc w:val="center"/>
              <w:rPr>
                <w:bCs/>
              </w:rPr>
            </w:pPr>
            <w:r>
              <w:rPr>
                <w:bCs/>
              </w:rPr>
            </w:r>
          </w:p>
        </w:tc>
      </w:tr>
      <w:tr>
        <w:trPr>
          <w:trHeight w:val="253" w:hRule="atLeast"/>
        </w:trPr>
        <w:tc>
          <w:tcPr>
            <w:tcW w:w="3238" w:type="dxa"/>
            <w:tcBorders>
              <w:top w:val="single" w:sz="4" w:space="0" w:color="000000"/>
              <w:left w:val="single" w:sz="4" w:space="0" w:color="000000"/>
              <w:bottom w:val="single" w:sz="4" w:space="0" w:color="000000"/>
            </w:tcBorders>
            <w:shd w:color="auto" w:fill="FFFFFF" w:themeFill="background1" w:val="clear"/>
            <w:vAlign w:val="center"/>
          </w:tcPr>
          <w:p>
            <w:pPr>
              <w:pStyle w:val="Normal"/>
              <w:widowControl w:val="false"/>
              <w:snapToGrid w:val="false"/>
              <w:spacing w:before="120" w:after="0"/>
              <w:rPr/>
            </w:pPr>
            <w:r>
              <w:rPr>
                <w:b/>
              </w:rPr>
              <w:t>Pretendenta pārstāvja vai pilnvarotās personas vārds, uzvārds, amats</w:t>
            </w:r>
          </w:p>
        </w:tc>
        <w:tc>
          <w:tcPr>
            <w:tcW w:w="645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120" w:after="0"/>
              <w:jc w:val="center"/>
              <w:rPr/>
            </w:pPr>
            <w:r>
              <w:rPr>
                <w:bCs/>
              </w:rPr>
              <w:br/>
            </w:r>
          </w:p>
        </w:tc>
      </w:tr>
      <w:tr>
        <w:trPr>
          <w:trHeight w:val="253" w:hRule="atLeast"/>
        </w:trPr>
        <w:tc>
          <w:tcPr>
            <w:tcW w:w="3238" w:type="dxa"/>
            <w:tcBorders>
              <w:top w:val="single" w:sz="4" w:space="0" w:color="000000"/>
              <w:left w:val="single" w:sz="4" w:space="0" w:color="000000"/>
              <w:bottom w:val="single" w:sz="4" w:space="0" w:color="000000"/>
            </w:tcBorders>
            <w:shd w:color="auto" w:fill="FFFFFF" w:themeFill="background1" w:val="clear"/>
            <w:vAlign w:val="center"/>
          </w:tcPr>
          <w:p>
            <w:pPr>
              <w:pStyle w:val="Normal"/>
              <w:widowControl w:val="false"/>
              <w:snapToGrid w:val="false"/>
              <w:spacing w:before="120" w:after="0"/>
              <w:rPr/>
            </w:pPr>
            <w:r>
              <w:rPr>
                <w:b/>
              </w:rPr>
              <w:t>Pretendents nodrošina vai nenodrošina līguma elektronisku parakstīšanu</w:t>
            </w:r>
          </w:p>
        </w:tc>
        <w:tc>
          <w:tcPr>
            <w:tcW w:w="645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120" w:after="0"/>
              <w:jc w:val="center"/>
              <w:rPr>
                <w:bCs/>
              </w:rPr>
            </w:pPr>
            <w:r>
              <w:rPr>
                <w:bCs/>
              </w:rPr>
            </w:r>
          </w:p>
        </w:tc>
      </w:tr>
      <w:tr>
        <w:trPr>
          <w:trHeight w:val="253" w:hRule="atLeast"/>
        </w:trPr>
        <w:tc>
          <w:tcPr>
            <w:tcW w:w="3238" w:type="dxa"/>
            <w:tcBorders>
              <w:top w:val="single" w:sz="4" w:space="0" w:color="000000"/>
              <w:left w:val="single" w:sz="4" w:space="0" w:color="000000"/>
              <w:bottom w:val="single" w:sz="4" w:space="0" w:color="000000"/>
            </w:tcBorders>
            <w:shd w:color="auto" w:fill="FFFFFF" w:themeFill="background1" w:val="clear"/>
            <w:vAlign w:val="center"/>
          </w:tcPr>
          <w:p>
            <w:pPr>
              <w:pStyle w:val="Normal"/>
              <w:widowControl w:val="false"/>
              <w:snapToGrid w:val="false"/>
              <w:spacing w:before="120" w:after="0"/>
              <w:rPr/>
            </w:pPr>
            <w:r>
              <w:rPr>
                <w:b/>
              </w:rPr>
              <w:t>Pretendenta pārstāvja vai pilnvarotās personas pilnvarojuma pamats</w:t>
            </w:r>
          </w:p>
        </w:tc>
        <w:tc>
          <w:tcPr>
            <w:tcW w:w="645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120" w:after="0"/>
              <w:jc w:val="center"/>
              <w:rPr>
                <w:bCs/>
              </w:rPr>
            </w:pPr>
            <w:r>
              <w:rPr>
                <w:bCs/>
              </w:rPr>
            </w:r>
          </w:p>
        </w:tc>
      </w:tr>
    </w:tbl>
    <w:p>
      <w:pPr>
        <w:pStyle w:val="Naisnod"/>
        <w:spacing w:before="0" w:after="0"/>
        <w:jc w:val="left"/>
        <w:rPr>
          <w:b w:val="false"/>
          <w:b w:val="false"/>
        </w:rPr>
      </w:pPr>
      <w:r>
        <w:rPr>
          <w:b w:val="false"/>
        </w:rPr>
        <w:t xml:space="preserve"> </w:t>
      </w:r>
      <w:r>
        <w:rPr>
          <w:b w:val="false"/>
        </w:rPr>
        <w:t>Ja piedāvājumu paraksta pilnvarotā persona, klāt pievienojama pilnvara.</w:t>
      </w:r>
    </w:p>
    <w:p>
      <w:pPr>
        <w:pStyle w:val="Naisnod"/>
        <w:spacing w:before="0" w:after="0"/>
        <w:jc w:val="left"/>
        <w:rPr>
          <w:b w:val="false"/>
          <w:b w:val="false"/>
        </w:rPr>
      </w:pPr>
      <w:r>
        <w:rPr>
          <w:b w:val="false"/>
        </w:rPr>
      </w:r>
    </w:p>
    <w:p>
      <w:pPr>
        <w:pStyle w:val="Normal"/>
        <w:tabs>
          <w:tab w:val="clear" w:pos="720"/>
          <w:tab w:val="left" w:pos="2160" w:leader="none"/>
        </w:tabs>
        <w:rPr>
          <w:i/>
          <w:i/>
        </w:rPr>
      </w:pPr>
      <w:r>
        <w:rPr>
          <w:b/>
        </w:rPr>
        <w:t xml:space="preserve">2.PIEDĀVĀTAIS PERSONĀLA SASTĀVS </w:t>
      </w:r>
    </w:p>
    <w:tbl>
      <w:tblPr>
        <w:tblStyle w:val="Reatabula"/>
        <w:tblW w:w="977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263"/>
        <w:gridCol w:w="2410"/>
        <w:gridCol w:w="2408"/>
        <w:gridCol w:w="2694"/>
      </w:tblGrid>
      <w:tr>
        <w:trPr>
          <w:trHeight w:val="710" w:hRule="atLeast"/>
        </w:trPr>
        <w:tc>
          <w:tcPr>
            <w:tcW w:w="2263" w:type="dxa"/>
            <w:tcBorders/>
          </w:tcPr>
          <w:p>
            <w:pPr>
              <w:pStyle w:val="Normal"/>
              <w:widowControl w:val="false"/>
              <w:suppressAutoHyphens w:val="true"/>
              <w:spacing w:before="0" w:after="0"/>
              <w:jc w:val="center"/>
              <w:rPr>
                <w:b/>
                <w:b/>
              </w:rPr>
            </w:pPr>
            <w:r>
              <w:rPr>
                <w:rFonts w:cs="Times New Roman"/>
                <w:b/>
                <w:kern w:val="0"/>
                <w:lang w:val="lv-LV" w:eastAsia="lv-LV" w:bidi="ar-SA"/>
              </w:rPr>
              <w:t>Speciālists</w:t>
            </w:r>
          </w:p>
        </w:tc>
        <w:tc>
          <w:tcPr>
            <w:tcW w:w="2410" w:type="dxa"/>
            <w:tcBorders/>
          </w:tcPr>
          <w:p>
            <w:pPr>
              <w:pStyle w:val="Normal"/>
              <w:widowControl w:val="false"/>
              <w:suppressAutoHyphens w:val="true"/>
              <w:spacing w:before="0" w:after="0"/>
              <w:jc w:val="center"/>
              <w:rPr>
                <w:b/>
                <w:b/>
              </w:rPr>
            </w:pPr>
            <w:r>
              <w:rPr>
                <w:rFonts w:cs="Times New Roman"/>
                <w:b/>
                <w:kern w:val="0"/>
                <w:lang w:val="lv-LV" w:eastAsia="lv-LV" w:bidi="ar-SA"/>
              </w:rPr>
              <w:t>Vārds, Uzvārds</w:t>
            </w:r>
          </w:p>
        </w:tc>
        <w:tc>
          <w:tcPr>
            <w:tcW w:w="2408" w:type="dxa"/>
            <w:tcBorders/>
          </w:tcPr>
          <w:p>
            <w:pPr>
              <w:pStyle w:val="Normal"/>
              <w:widowControl w:val="false"/>
              <w:suppressAutoHyphens w:val="true"/>
              <w:spacing w:before="0" w:after="0"/>
              <w:jc w:val="center"/>
              <w:rPr>
                <w:b/>
                <w:b/>
              </w:rPr>
            </w:pPr>
            <w:r>
              <w:rPr>
                <w:rFonts w:cs="Times New Roman"/>
                <w:b/>
                <w:kern w:val="0"/>
                <w:lang w:val="lv-LV" w:eastAsia="lv-LV" w:bidi="ar-SA"/>
              </w:rPr>
              <w:t>Komersants, kuru speciālists pārstāv</w:t>
            </w:r>
          </w:p>
        </w:tc>
        <w:tc>
          <w:tcPr>
            <w:tcW w:w="2694" w:type="dxa"/>
            <w:tcBorders/>
          </w:tcPr>
          <w:p>
            <w:pPr>
              <w:pStyle w:val="Normal"/>
              <w:widowControl w:val="false"/>
              <w:suppressAutoHyphens w:val="true"/>
              <w:spacing w:before="0" w:after="0"/>
              <w:jc w:val="center"/>
              <w:rPr>
                <w:b/>
                <w:b/>
              </w:rPr>
            </w:pPr>
            <w:r>
              <w:rPr>
                <w:rFonts w:cs="Times New Roman"/>
                <w:b/>
                <w:kern w:val="0"/>
                <w:lang w:val="lv-LV" w:eastAsia="lv-LV" w:bidi="ar-SA"/>
              </w:rPr>
              <w:t>Darbības sfēra, sertifikāta Nr.</w:t>
            </w:r>
          </w:p>
        </w:tc>
      </w:tr>
      <w:tr>
        <w:trPr>
          <w:trHeight w:val="710" w:hRule="atLeast"/>
        </w:trPr>
        <w:tc>
          <w:tcPr>
            <w:tcW w:w="2263" w:type="dxa"/>
            <w:tcBorders/>
          </w:tcPr>
          <w:p>
            <w:pPr>
              <w:pStyle w:val="Normal"/>
              <w:widowControl w:val="false"/>
              <w:suppressAutoHyphens w:val="true"/>
              <w:spacing w:before="0" w:after="0"/>
              <w:jc w:val="center"/>
              <w:rPr>
                <w:rFonts w:cs="Times New Roman"/>
                <w:kern w:val="0"/>
                <w:lang w:val="lv-LV" w:eastAsia="lv-LV" w:bidi="ar-SA"/>
              </w:rPr>
            </w:pPr>
            <w:r>
              <w:rPr>
                <w:rFonts w:cs="Times New Roman"/>
                <w:kern w:val="0"/>
                <w:lang w:val="lv-LV" w:eastAsia="lv-LV" w:bidi="ar-SA"/>
              </w:rPr>
              <w:t>Atbildīgais būvprojekta vadītājs</w:t>
            </w:r>
          </w:p>
        </w:tc>
        <w:tc>
          <w:tcPr>
            <w:tcW w:w="2410" w:type="dxa"/>
            <w:tcBorders/>
          </w:tcPr>
          <w:p>
            <w:pPr>
              <w:pStyle w:val="Normal"/>
              <w:widowControl w:val="false"/>
              <w:suppressAutoHyphens w:val="true"/>
              <w:spacing w:before="0" w:after="0"/>
              <w:jc w:val="center"/>
              <w:rPr>
                <w:rFonts w:cs="Times New Roman"/>
                <w:kern w:val="0"/>
                <w:lang w:val="lv-LV" w:eastAsia="lv-LV" w:bidi="ar-SA"/>
              </w:rPr>
            </w:pPr>
            <w:r>
              <w:rPr>
                <w:rFonts w:cs="Times New Roman"/>
                <w:kern w:val="0"/>
                <w:lang w:val="lv-LV" w:eastAsia="lv-LV" w:bidi="ar-SA"/>
              </w:rPr>
            </w:r>
          </w:p>
        </w:tc>
        <w:tc>
          <w:tcPr>
            <w:tcW w:w="2408" w:type="dxa"/>
            <w:tcBorders/>
          </w:tcPr>
          <w:p>
            <w:pPr>
              <w:pStyle w:val="Normal"/>
              <w:widowControl w:val="false"/>
              <w:suppressAutoHyphens w:val="true"/>
              <w:spacing w:before="0" w:after="0"/>
              <w:jc w:val="center"/>
              <w:rPr>
                <w:rFonts w:cs="Times New Roman"/>
                <w:kern w:val="0"/>
                <w:lang w:val="lv-LV" w:eastAsia="lv-LV" w:bidi="ar-SA"/>
              </w:rPr>
            </w:pPr>
            <w:r>
              <w:rPr>
                <w:rFonts w:cs="Times New Roman"/>
                <w:kern w:val="0"/>
                <w:lang w:val="lv-LV" w:eastAsia="lv-LV" w:bidi="ar-SA"/>
              </w:rPr>
            </w:r>
          </w:p>
        </w:tc>
        <w:tc>
          <w:tcPr>
            <w:tcW w:w="2694" w:type="dxa"/>
            <w:tcBorders/>
          </w:tcPr>
          <w:p>
            <w:pPr>
              <w:pStyle w:val="Normal"/>
              <w:widowControl w:val="false"/>
              <w:suppressAutoHyphens w:val="true"/>
              <w:spacing w:before="0" w:after="0"/>
              <w:jc w:val="center"/>
              <w:rPr>
                <w:rFonts w:cs="Times New Roman"/>
                <w:kern w:val="0"/>
                <w:lang w:val="lv-LV" w:eastAsia="lv-LV" w:bidi="ar-SA"/>
              </w:rPr>
            </w:pPr>
            <w:r>
              <w:rPr>
                <w:rFonts w:cs="Times New Roman"/>
                <w:kern w:val="0"/>
                <w:lang w:val="lv-LV" w:eastAsia="lv-LV" w:bidi="ar-SA"/>
              </w:rPr>
            </w:r>
          </w:p>
        </w:tc>
      </w:tr>
    </w:tbl>
    <w:p>
      <w:pPr>
        <w:pStyle w:val="Naisnod"/>
        <w:spacing w:before="0" w:after="0"/>
        <w:jc w:val="left"/>
        <w:rPr>
          <w:rFonts w:eastAsia="Calibri"/>
          <w:b w:val="false"/>
          <w:b w:val="false"/>
          <w:bCs w:val="false"/>
          <w:lang w:eastAsia="ru-RU"/>
        </w:rPr>
      </w:pPr>
      <w:r>
        <w:rPr>
          <w:rFonts w:eastAsia="Calibri"/>
          <w:b w:val="false"/>
          <w:bCs w:val="false"/>
          <w:lang w:eastAsia="ru-RU"/>
        </w:rPr>
      </w:r>
    </w:p>
    <w:p>
      <w:pPr>
        <w:pStyle w:val="Naisnod"/>
        <w:spacing w:before="0" w:after="0"/>
        <w:jc w:val="left"/>
        <w:rPr>
          <w:rFonts w:eastAsia="Calibri"/>
          <w:b w:val="false"/>
          <w:b w:val="false"/>
          <w:bCs w:val="false"/>
          <w:lang w:eastAsia="ru-RU"/>
        </w:rPr>
      </w:pPr>
      <w:r>
        <w:rPr>
          <w:rFonts w:eastAsia="Calibri"/>
          <w:b w:val="false"/>
          <w:bCs w:val="false"/>
          <w:lang w:eastAsia="ru-RU"/>
        </w:rPr>
      </w:r>
    </w:p>
    <w:p>
      <w:pPr>
        <w:pStyle w:val="Naisnod"/>
        <w:spacing w:before="0" w:after="0"/>
        <w:jc w:val="left"/>
        <w:rPr>
          <w:rFonts w:eastAsia="Calibri"/>
          <w:b w:val="false"/>
          <w:b w:val="false"/>
          <w:bCs w:val="false"/>
          <w:lang w:eastAsia="ru-RU"/>
        </w:rPr>
      </w:pPr>
      <w:r>
        <w:rPr>
          <w:rFonts w:eastAsia="Calibri"/>
          <w:b w:val="false"/>
          <w:bCs w:val="false"/>
          <w:lang w:eastAsia="ru-RU"/>
        </w:rPr>
      </w:r>
    </w:p>
    <w:p>
      <w:pPr>
        <w:pStyle w:val="Naisnod"/>
        <w:spacing w:before="0" w:after="0"/>
        <w:jc w:val="left"/>
        <w:rPr>
          <w:rFonts w:eastAsia="Calibri"/>
          <w:b w:val="false"/>
          <w:b w:val="false"/>
          <w:bCs w:val="false"/>
          <w:lang w:eastAsia="ru-RU"/>
        </w:rPr>
      </w:pPr>
      <w:r>
        <w:rPr>
          <w:rFonts w:eastAsia="Calibri"/>
          <w:b w:val="false"/>
          <w:bCs w:val="false"/>
          <w:lang w:eastAsia="ru-RU"/>
        </w:rPr>
      </w:r>
    </w:p>
    <w:p>
      <w:pPr>
        <w:pStyle w:val="Naisnod"/>
        <w:spacing w:before="0" w:after="0"/>
        <w:jc w:val="left"/>
        <w:rPr>
          <w:b w:val="false"/>
          <w:b w:val="false"/>
        </w:rPr>
      </w:pPr>
      <w:r>
        <w:rPr>
          <w:b w:val="false"/>
        </w:rPr>
      </w:r>
    </w:p>
    <w:p>
      <w:pPr>
        <w:pStyle w:val="Naisnod"/>
        <w:spacing w:before="0" w:after="0"/>
        <w:jc w:val="left"/>
        <w:rPr/>
      </w:pPr>
      <w:r>
        <w:rPr/>
        <w:t>3.FINANŠU PIEDĀVĀJUMS*</w:t>
      </w:r>
    </w:p>
    <w:p>
      <w:pPr>
        <w:pStyle w:val="Naisnod"/>
        <w:spacing w:before="0" w:after="0"/>
        <w:ind w:left="360" w:hanging="0"/>
        <w:jc w:val="left"/>
        <w:rPr/>
      </w:pPr>
      <w:r>
        <w:rPr/>
      </w:r>
    </w:p>
    <w:tbl>
      <w:tblPr>
        <w:tblW w:w="10915"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1134"/>
        <w:gridCol w:w="2976"/>
        <w:gridCol w:w="2552"/>
        <w:gridCol w:w="1984"/>
        <w:gridCol w:w="2269"/>
      </w:tblGrid>
      <w:tr>
        <w:trPr/>
        <w:tc>
          <w:tcPr>
            <w:tcW w:w="1134" w:type="dxa"/>
            <w:tcBorders>
              <w:top w:val="single" w:sz="4" w:space="0" w:color="000000"/>
              <w:left w:val="single" w:sz="4" w:space="0" w:color="000000"/>
              <w:bottom w:val="single" w:sz="4" w:space="0" w:color="000000"/>
              <w:right w:val="single" w:sz="4" w:space="0" w:color="000000"/>
            </w:tcBorders>
            <w:shd w:color="auto" w:fill="F2F2F2" w:val="clear"/>
          </w:tcPr>
          <w:p>
            <w:pPr>
              <w:pStyle w:val="Normal"/>
              <w:widowControl w:val="false"/>
              <w:spacing w:lineRule="auto" w:line="276" w:before="0" w:after="200"/>
              <w:rPr>
                <w:rFonts w:eastAsia="Calibri"/>
                <w:b/>
                <w:b/>
                <w:lang w:eastAsia="ar-SA"/>
              </w:rPr>
            </w:pPr>
            <w:r>
              <w:rPr>
                <w:rFonts w:eastAsia="Calibri"/>
                <w:b/>
                <w:lang w:eastAsia="ar-SA"/>
              </w:rPr>
              <w:t>Nr.p.k.</w:t>
            </w:r>
          </w:p>
        </w:tc>
        <w:tc>
          <w:tcPr>
            <w:tcW w:w="2976" w:type="dxa"/>
            <w:tcBorders>
              <w:top w:val="single" w:sz="4" w:space="0" w:color="000000"/>
              <w:left w:val="single" w:sz="4" w:space="0" w:color="000000"/>
              <w:bottom w:val="single" w:sz="4" w:space="0" w:color="000000"/>
              <w:right w:val="single" w:sz="4" w:space="0" w:color="000000"/>
            </w:tcBorders>
            <w:shd w:color="auto" w:fill="F2F2F2" w:val="clear"/>
          </w:tcPr>
          <w:p>
            <w:pPr>
              <w:pStyle w:val="Normal"/>
              <w:widowControl w:val="false"/>
              <w:spacing w:lineRule="auto" w:line="276" w:before="0" w:after="200"/>
              <w:rPr>
                <w:rFonts w:eastAsia="Calibri"/>
                <w:b/>
                <w:b/>
                <w:lang w:eastAsia="ar-SA"/>
              </w:rPr>
            </w:pPr>
            <w:r>
              <w:rPr>
                <w:rFonts w:eastAsia="Calibri"/>
                <w:b/>
                <w:lang w:eastAsia="ar-SA"/>
              </w:rPr>
            </w:r>
            <w:bookmarkStart w:id="3" w:name="_Hlk125710775"/>
            <w:bookmarkStart w:id="4" w:name="_Hlk125710775"/>
            <w:bookmarkEnd w:id="4"/>
          </w:p>
        </w:tc>
        <w:tc>
          <w:tcPr>
            <w:tcW w:w="2552"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jc w:val="center"/>
              <w:rPr>
                <w:rFonts w:eastAsia="Calibri"/>
                <w:b/>
                <w:b/>
                <w:lang w:eastAsia="ar-SA"/>
              </w:rPr>
            </w:pPr>
            <w:r>
              <w:rPr>
                <w:rFonts w:eastAsia="Calibri"/>
                <w:b/>
                <w:lang w:eastAsia="ar-SA"/>
              </w:rPr>
              <w:t>Cena EUR bez PVN</w:t>
            </w:r>
          </w:p>
        </w:tc>
        <w:tc>
          <w:tcPr>
            <w:tcW w:w="1984"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jc w:val="center"/>
              <w:rPr>
                <w:rFonts w:eastAsia="Calibri"/>
                <w:b/>
                <w:b/>
                <w:lang w:eastAsia="ar-SA"/>
              </w:rPr>
            </w:pPr>
            <w:r>
              <w:rPr>
                <w:rFonts w:eastAsia="Calibri"/>
                <w:b/>
                <w:lang w:eastAsia="ar-SA"/>
              </w:rPr>
              <w:t>PVN __%, EUR</w:t>
            </w:r>
          </w:p>
        </w:tc>
        <w:tc>
          <w:tcPr>
            <w:tcW w:w="2269"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jc w:val="center"/>
              <w:rPr>
                <w:rFonts w:eastAsia="Calibri"/>
                <w:b/>
                <w:b/>
                <w:lang w:eastAsia="ar-SA"/>
              </w:rPr>
            </w:pPr>
            <w:r>
              <w:rPr>
                <w:rFonts w:eastAsia="Calibri"/>
                <w:b/>
                <w:lang w:eastAsia="ar-SA"/>
              </w:rPr>
              <w:t>Kopā, EUR</w:t>
            </w:r>
          </w:p>
        </w:tc>
      </w:tr>
      <w:tr>
        <w:trPr>
          <w:trHeight w:val="227" w:hRule="atLeast"/>
        </w:trPr>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1.</w:t>
            </w:r>
          </w:p>
        </w:tc>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Calibri"/>
                <w:lang w:eastAsia="ar-SA"/>
              </w:rPr>
            </w:pPr>
            <w:r>
              <w:rPr/>
              <w:t>Projekta izstrāde</w:t>
            </w:r>
          </w:p>
        </w:tc>
        <w:tc>
          <w:tcPr>
            <w:tcW w:w="25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Calibri"/>
                <w:b/>
                <w:b/>
                <w:lang w:eastAsia="ar-SA"/>
              </w:rPr>
            </w:pPr>
            <w:r>
              <w:rPr>
                <w:rFonts w:eastAsia="Calibri"/>
                <w:b/>
                <w:lang w:eastAsia="ar-SA"/>
              </w:rPr>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Calibri"/>
                <w:b/>
                <w:b/>
                <w:lang w:eastAsia="ar-SA"/>
              </w:rPr>
            </w:pPr>
            <w:r>
              <w:rPr>
                <w:rFonts w:eastAsia="Calibri"/>
                <w:b/>
                <w:lang w:eastAsia="ar-SA"/>
              </w:rPr>
            </w:r>
          </w:p>
        </w:tc>
        <w:tc>
          <w:tcPr>
            <w:tcW w:w="22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Calibri"/>
                <w:b/>
                <w:b/>
                <w:lang w:eastAsia="ar-SA"/>
              </w:rPr>
            </w:pPr>
            <w:r>
              <w:rPr>
                <w:rFonts w:eastAsia="Calibri"/>
                <w:b/>
                <w:lang w:eastAsia="ar-SA"/>
              </w:rPr>
            </w:r>
          </w:p>
        </w:tc>
      </w:tr>
      <w:tr>
        <w:trPr>
          <w:trHeight w:val="70" w:hRule="atLeast"/>
        </w:trPr>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2.</w:t>
            </w:r>
          </w:p>
        </w:tc>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Autoruzraudzība</w:t>
            </w:r>
          </w:p>
        </w:tc>
        <w:tc>
          <w:tcPr>
            <w:tcW w:w="25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Calibri"/>
                <w:b/>
                <w:b/>
                <w:lang w:eastAsia="ar-SA"/>
              </w:rPr>
            </w:pPr>
            <w:r>
              <w:rPr>
                <w:rFonts w:eastAsia="Calibri"/>
                <w:b/>
                <w:lang w:eastAsia="ar-SA"/>
              </w:rPr>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Calibri"/>
                <w:b/>
                <w:b/>
                <w:lang w:eastAsia="ar-SA"/>
              </w:rPr>
            </w:pPr>
            <w:r>
              <w:rPr>
                <w:rFonts w:eastAsia="Calibri"/>
                <w:b/>
                <w:lang w:eastAsia="ar-SA"/>
              </w:rPr>
            </w:r>
          </w:p>
        </w:tc>
        <w:tc>
          <w:tcPr>
            <w:tcW w:w="22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Calibri"/>
                <w:b/>
                <w:b/>
                <w:lang w:eastAsia="ar-SA"/>
              </w:rPr>
            </w:pPr>
            <w:r>
              <w:rPr>
                <w:rFonts w:eastAsia="Calibri"/>
                <w:b/>
                <w:lang w:eastAsia="ar-SA"/>
              </w:rPr>
            </w:r>
          </w:p>
        </w:tc>
      </w:tr>
      <w:tr>
        <w:trPr>
          <w:trHeight w:val="369" w:hRule="atLeast"/>
        </w:trPr>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b/>
                <w:b/>
                <w:bCs/>
              </w:rPr>
            </w:pPr>
            <w:r>
              <w:rPr>
                <w:b/>
                <w:bCs/>
              </w:rPr>
            </w:r>
          </w:p>
        </w:tc>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b/>
                <w:b/>
                <w:bCs/>
              </w:rPr>
            </w:pPr>
            <w:r>
              <w:rPr>
                <w:b/>
                <w:bCs/>
              </w:rPr>
              <w:t>KOPĀ:</w:t>
            </w:r>
          </w:p>
        </w:tc>
        <w:tc>
          <w:tcPr>
            <w:tcW w:w="25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Calibri"/>
                <w:b/>
                <w:b/>
                <w:lang w:eastAsia="ar-SA"/>
              </w:rPr>
            </w:pPr>
            <w:r>
              <w:rPr>
                <w:rFonts w:eastAsia="Calibri"/>
                <w:b/>
                <w:lang w:eastAsia="ar-SA"/>
              </w:rPr>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Calibri"/>
                <w:b/>
                <w:b/>
                <w:lang w:eastAsia="ar-SA"/>
              </w:rPr>
            </w:pPr>
            <w:r>
              <w:rPr>
                <w:rFonts w:eastAsia="Calibri"/>
                <w:b/>
                <w:lang w:eastAsia="ar-SA"/>
              </w:rPr>
            </w:r>
          </w:p>
        </w:tc>
        <w:tc>
          <w:tcPr>
            <w:tcW w:w="22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Calibri"/>
                <w:b/>
                <w:b/>
                <w:lang w:eastAsia="ar-SA"/>
              </w:rPr>
            </w:pPr>
            <w:r>
              <w:rPr>
                <w:rFonts w:eastAsia="Calibri"/>
                <w:b/>
                <w:lang w:eastAsia="ar-SA"/>
              </w:rPr>
            </w:r>
            <w:bookmarkStart w:id="5" w:name="_Hlk125710775"/>
            <w:bookmarkStart w:id="6" w:name="_Hlk125710775"/>
            <w:bookmarkEnd w:id="6"/>
          </w:p>
        </w:tc>
      </w:tr>
    </w:tbl>
    <w:p>
      <w:pPr>
        <w:pStyle w:val="Normal"/>
        <w:spacing w:before="120" w:after="0"/>
        <w:ind w:right="-1277" w:hanging="0"/>
        <w:jc w:val="both"/>
        <w:rPr/>
      </w:pPr>
      <w:r>
        <w:rPr/>
        <w:t xml:space="preserve">Pretendents ir iepazinies ar tehnisko specifikāciju un darbi tiks </w:t>
      </w:r>
      <w:r>
        <w:rPr>
          <w:rFonts w:eastAsia="Calibri"/>
          <w:b/>
          <w:bCs/>
          <w:lang w:eastAsia="ru-RU"/>
        </w:rPr>
        <w:t>izpildīti atbilstoši tehniskās specifikācijas prasībām</w:t>
      </w:r>
      <w:r>
        <w:rPr/>
        <w:t xml:space="preserve"> , kā arī nodrošinās vai iekļaus visu darbu izpildei nepieciešamo papildus  kvalitatīvai darbu izpildei.</w:t>
      </w:r>
    </w:p>
    <w:p>
      <w:pPr>
        <w:pStyle w:val="Normal"/>
        <w:spacing w:before="120" w:after="0"/>
        <w:jc w:val="both"/>
        <w:rPr/>
      </w:pPr>
      <w:r>
        <w:rPr/>
        <w:t>Līgumcenā ir iekļautas visas iespējamās izmaksas, kas saistītas ar darbu izpildi (nodokļi, nodevas, darbinieku alga, u.c.), tai skaitā iespējamie sadārdzinājumi un visi riski.</w:t>
      </w:r>
    </w:p>
    <w:p>
      <w:pPr>
        <w:pStyle w:val="Normal"/>
        <w:spacing w:before="120" w:after="0"/>
        <w:jc w:val="both"/>
        <w:rPr/>
      </w:pPr>
      <w:r>
        <w:rPr/>
      </w:r>
    </w:p>
    <w:tbl>
      <w:tblPr>
        <w:tblpPr w:bottomFromText="0" w:horzAnchor="page" w:leftFromText="180" w:rightFromText="180" w:tblpX="496" w:tblpY="84" w:topFromText="0" w:vertAnchor="text"/>
        <w:tblW w:w="10656"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168"/>
        <w:gridCol w:w="4243"/>
        <w:gridCol w:w="4245"/>
      </w:tblGrid>
      <w:tr>
        <w:trPr>
          <w:trHeight w:val="291" w:hRule="atLeast"/>
        </w:trPr>
        <w:tc>
          <w:tcPr>
            <w:tcW w:w="2168" w:type="dxa"/>
            <w:tcBorders/>
          </w:tcPr>
          <w:p>
            <w:pPr>
              <w:pStyle w:val="Normal"/>
              <w:widowControl w:val="false"/>
              <w:rPr/>
            </w:pPr>
            <w:r>
              <w:rPr/>
            </w:r>
          </w:p>
          <w:p>
            <w:pPr>
              <w:pStyle w:val="Normal"/>
              <w:widowControl w:val="false"/>
              <w:rPr/>
            </w:pPr>
            <w:r>
              <w:rPr/>
              <w:t>Pretendenta pārstāvis</w:t>
            </w:r>
          </w:p>
        </w:tc>
        <w:tc>
          <w:tcPr>
            <w:tcW w:w="4243" w:type="dxa"/>
            <w:tcBorders>
              <w:bottom w:val="single" w:sz="4" w:space="0" w:color="000000"/>
            </w:tcBorders>
          </w:tcPr>
          <w:p>
            <w:pPr>
              <w:pStyle w:val="Normal"/>
              <w:widowControl w:val="false"/>
              <w:rPr/>
            </w:pPr>
            <w:r>
              <w:rPr/>
            </w:r>
          </w:p>
        </w:tc>
        <w:tc>
          <w:tcPr>
            <w:tcW w:w="4245" w:type="dxa"/>
            <w:tcBorders>
              <w:bottom w:val="single" w:sz="4" w:space="0" w:color="000000"/>
            </w:tcBorders>
          </w:tcPr>
          <w:p>
            <w:pPr>
              <w:pStyle w:val="Normal"/>
              <w:widowControl w:val="false"/>
              <w:rPr/>
            </w:pPr>
            <w:r>
              <w:rPr/>
            </w:r>
          </w:p>
        </w:tc>
      </w:tr>
      <w:tr>
        <w:trPr>
          <w:trHeight w:val="125" w:hRule="atLeast"/>
          <w:cantSplit w:val="true"/>
        </w:trPr>
        <w:tc>
          <w:tcPr>
            <w:tcW w:w="2168" w:type="dxa"/>
            <w:tcBorders/>
          </w:tcPr>
          <w:p>
            <w:pPr>
              <w:pStyle w:val="Normal"/>
              <w:widowControl w:val="false"/>
              <w:rPr>
                <w:sz w:val="22"/>
                <w:szCs w:val="22"/>
              </w:rPr>
            </w:pPr>
            <w:r>
              <w:rPr>
                <w:sz w:val="22"/>
                <w:szCs w:val="22"/>
              </w:rPr>
            </w:r>
          </w:p>
        </w:tc>
        <w:tc>
          <w:tcPr>
            <w:tcW w:w="4243" w:type="dxa"/>
            <w:tcBorders/>
          </w:tcPr>
          <w:p>
            <w:pPr>
              <w:pStyle w:val="Normal"/>
              <w:widowControl w:val="false"/>
              <w:rPr>
                <w:sz w:val="16"/>
                <w:szCs w:val="16"/>
              </w:rPr>
            </w:pPr>
            <w:r>
              <w:rPr>
                <w:sz w:val="16"/>
                <w:szCs w:val="16"/>
              </w:rPr>
              <w:t>(amats, paraksts, vārds, uzvārds)</w:t>
            </w:r>
          </w:p>
        </w:tc>
        <w:tc>
          <w:tcPr>
            <w:tcW w:w="4245" w:type="dxa"/>
            <w:tcBorders/>
          </w:tcPr>
          <w:p>
            <w:pPr>
              <w:pStyle w:val="Normal"/>
              <w:widowControl w:val="false"/>
              <w:rPr>
                <w:sz w:val="16"/>
                <w:szCs w:val="16"/>
              </w:rPr>
            </w:pPr>
            <w:r>
              <w:rPr>
                <w:sz w:val="16"/>
                <w:szCs w:val="16"/>
              </w:rPr>
            </w:r>
          </w:p>
        </w:tc>
      </w:tr>
    </w:tbl>
    <w:p>
      <w:pPr>
        <w:pStyle w:val="Parasts2"/>
        <w:jc w:val="both"/>
        <w:rPr>
          <w:sz w:val="20"/>
          <w:szCs w:val="20"/>
        </w:rPr>
      </w:pPr>
      <w:r>
        <w:rPr>
          <w:sz w:val="20"/>
          <w:szCs w:val="20"/>
        </w:rPr>
      </w:r>
    </w:p>
    <w:p>
      <w:pPr>
        <w:pStyle w:val="Naisnod"/>
        <w:spacing w:before="0" w:after="0"/>
        <w:ind w:left="360" w:hanging="0"/>
        <w:rPr>
          <w:sz w:val="20"/>
          <w:szCs w:val="20"/>
        </w:rPr>
      </w:pPr>
      <w:r>
        <w:rPr>
          <w:sz w:val="20"/>
          <w:szCs w:val="20"/>
        </w:rPr>
      </w:r>
    </w:p>
    <w:p>
      <w:pPr>
        <w:pStyle w:val="Parasts2"/>
        <w:ind w:right="-1277" w:hanging="0"/>
        <w:jc w:val="both"/>
        <w:rPr/>
      </w:pPr>
      <w:r>
        <w:rPr>
          <w:rStyle w:val="Noklusjumarindkopasfonts2"/>
          <w:sz w:val="20"/>
          <w:szCs w:val="20"/>
        </w:rPr>
        <w:t>*  Pretendentam jāsagatavo finanšu piedāvājums atbilstoši tehniskajā specifikācijā norādītajiem darbu apjomiem. Pretendenta Finanšu piedāvājumā norādītajā cenā jāiekļauj visas ar iepirkuma nolikuma Tehniskās specifikācijas prasību izpildi saistītās izmaksas, nodokļi, kā arī visas ar to netieši saistītās izmaksas, izmaksas par visiem riskiem, tajā skaitā, iespējamo sadārdzinājumu.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pPr>
        <w:pStyle w:val="Parasts2"/>
        <w:spacing w:lineRule="auto" w:line="360"/>
        <w:ind w:firstLine="4680"/>
        <w:jc w:val="both"/>
        <w:rPr>
          <w:b/>
          <w:b/>
          <w:sz w:val="20"/>
          <w:szCs w:val="20"/>
        </w:rPr>
      </w:pPr>
      <w:r>
        <w:rPr>
          <w:b/>
          <w:sz w:val="20"/>
          <w:szCs w:val="20"/>
        </w:rPr>
      </w:r>
    </w:p>
    <w:p>
      <w:pPr>
        <w:pStyle w:val="Parasts2"/>
        <w:rPr>
          <w:b/>
          <w:b/>
        </w:rPr>
      </w:pPr>
      <w:r>
        <w:rPr>
          <w:b/>
        </w:rPr>
      </w:r>
    </w:p>
    <w:p>
      <w:pPr>
        <w:pStyle w:val="Naisnod"/>
        <w:spacing w:before="0" w:after="0"/>
        <w:jc w:val="left"/>
        <w:rPr/>
      </w:pPr>
      <w:r>
        <w:rPr/>
      </w:r>
    </w:p>
    <w:p>
      <w:pPr>
        <w:pStyle w:val="Naisnod"/>
        <w:spacing w:before="0" w:after="0"/>
        <w:jc w:val="left"/>
        <w:rPr/>
      </w:pPr>
      <w:r>
        <w:rPr/>
      </w:r>
    </w:p>
    <w:p>
      <w:pPr>
        <w:pStyle w:val="Naisnod"/>
        <w:spacing w:before="0" w:after="0"/>
        <w:jc w:val="left"/>
        <w:rPr/>
      </w:pPr>
      <w:r>
        <w:rPr/>
      </w:r>
    </w:p>
    <w:p>
      <w:pPr>
        <w:pStyle w:val="Naisnod"/>
        <w:spacing w:before="0" w:after="0"/>
        <w:jc w:val="left"/>
        <w:rPr/>
      </w:pPr>
      <w:r>
        <w:rPr/>
      </w:r>
    </w:p>
    <w:p>
      <w:pPr>
        <w:pStyle w:val="Naisnod"/>
        <w:spacing w:before="0" w:after="0"/>
        <w:jc w:val="left"/>
        <w:rPr/>
      </w:pPr>
      <w:r>
        <w:rPr/>
      </w:r>
    </w:p>
    <w:p>
      <w:pPr>
        <w:pStyle w:val="Naisnod"/>
        <w:spacing w:before="0" w:after="0"/>
        <w:jc w:val="left"/>
        <w:rPr/>
      </w:pPr>
      <w:r>
        <w:rPr/>
      </w:r>
    </w:p>
    <w:p>
      <w:pPr>
        <w:pStyle w:val="Naisnod"/>
        <w:spacing w:before="0" w:after="0"/>
        <w:jc w:val="left"/>
        <w:rPr/>
      </w:pPr>
      <w:r>
        <w:rPr/>
      </w:r>
    </w:p>
    <w:p>
      <w:pPr>
        <w:pStyle w:val="Naisnod"/>
        <w:spacing w:before="0" w:after="0"/>
        <w:jc w:val="left"/>
        <w:rPr/>
      </w:pPr>
      <w:r>
        <w:rPr/>
      </w:r>
    </w:p>
    <w:p>
      <w:pPr>
        <w:pStyle w:val="Naisnod"/>
        <w:spacing w:before="0" w:after="0"/>
        <w:jc w:val="left"/>
        <w:rPr/>
      </w:pPr>
      <w:r>
        <w:rPr/>
      </w:r>
    </w:p>
    <w:p>
      <w:pPr>
        <w:pStyle w:val="Naisnod"/>
        <w:spacing w:before="0" w:after="0"/>
        <w:jc w:val="left"/>
        <w:rPr/>
      </w:pPr>
      <w:r>
        <w:rPr/>
      </w:r>
    </w:p>
    <w:p>
      <w:pPr>
        <w:pStyle w:val="Naisnod"/>
        <w:spacing w:before="0" w:after="0"/>
        <w:jc w:val="left"/>
        <w:rPr/>
      </w:pPr>
      <w:r>
        <w:rPr/>
      </w:r>
    </w:p>
    <w:p>
      <w:pPr>
        <w:pStyle w:val="Naisnod"/>
        <w:spacing w:before="0" w:after="0"/>
        <w:jc w:val="left"/>
        <w:rPr/>
      </w:pPr>
      <w:r>
        <w:rPr/>
      </w:r>
    </w:p>
    <w:p>
      <w:pPr>
        <w:pStyle w:val="Naisnod"/>
        <w:spacing w:before="0" w:after="0"/>
        <w:jc w:val="left"/>
        <w:rPr/>
      </w:pPr>
      <w:r>
        <w:rPr/>
      </w:r>
    </w:p>
    <w:p>
      <w:pPr>
        <w:pStyle w:val="Naisnod"/>
        <w:spacing w:before="0" w:after="0"/>
        <w:jc w:val="left"/>
        <w:rPr/>
      </w:pPr>
      <w:r>
        <w:rPr/>
      </w:r>
    </w:p>
    <w:p>
      <w:pPr>
        <w:pStyle w:val="Naisnod"/>
        <w:spacing w:before="0" w:after="0"/>
        <w:jc w:val="left"/>
        <w:rPr/>
      </w:pPr>
      <w:r>
        <w:rPr/>
      </w:r>
    </w:p>
    <w:p>
      <w:pPr>
        <w:pStyle w:val="Naisnod"/>
        <w:spacing w:before="0" w:after="0"/>
        <w:jc w:val="left"/>
        <w:rPr/>
      </w:pPr>
      <w:r>
        <w:rPr/>
      </w:r>
    </w:p>
    <w:p>
      <w:pPr>
        <w:pStyle w:val="Naisnod"/>
        <w:spacing w:before="0" w:after="0"/>
        <w:jc w:val="left"/>
        <w:rPr/>
      </w:pPr>
      <w:r>
        <w:rPr/>
      </w:r>
    </w:p>
    <w:p>
      <w:pPr>
        <w:pStyle w:val="Naisnod"/>
        <w:spacing w:before="0" w:after="0"/>
        <w:jc w:val="left"/>
        <w:rPr/>
      </w:pPr>
      <w:r>
        <w:rPr/>
      </w:r>
    </w:p>
    <w:p>
      <w:pPr>
        <w:pStyle w:val="Naisnod"/>
        <w:spacing w:before="0" w:after="0"/>
        <w:jc w:val="left"/>
        <w:rPr/>
      </w:pPr>
      <w:r>
        <w:rPr/>
      </w:r>
    </w:p>
    <w:p>
      <w:pPr>
        <w:pStyle w:val="Naisnod"/>
        <w:spacing w:before="0" w:after="0"/>
        <w:jc w:val="left"/>
        <w:rPr/>
      </w:pPr>
      <w:r>
        <w:rPr/>
      </w:r>
    </w:p>
    <w:p>
      <w:pPr>
        <w:pStyle w:val="Naisnod"/>
        <w:spacing w:before="0" w:after="0"/>
        <w:jc w:val="left"/>
        <w:rPr/>
      </w:pPr>
      <w:r>
        <w:rPr/>
      </w:r>
    </w:p>
    <w:p>
      <w:pPr>
        <w:pStyle w:val="Naisnod"/>
        <w:spacing w:before="0" w:after="0"/>
        <w:jc w:val="left"/>
        <w:rPr/>
      </w:pPr>
      <w:r>
        <w:rPr/>
      </w:r>
    </w:p>
    <w:p>
      <w:pPr>
        <w:pStyle w:val="Naisnod"/>
        <w:spacing w:before="0" w:after="0"/>
        <w:jc w:val="left"/>
        <w:rPr/>
      </w:pPr>
      <w:r>
        <w:rPr/>
      </w:r>
    </w:p>
    <w:p>
      <w:pPr>
        <w:pStyle w:val="Naisnod"/>
        <w:spacing w:before="0" w:after="0"/>
        <w:jc w:val="left"/>
        <w:rPr/>
      </w:pPr>
      <w:r>
        <w:rPr/>
      </w:r>
    </w:p>
    <w:p>
      <w:pPr>
        <w:pStyle w:val="Parasts2"/>
        <w:rPr>
          <w:b/>
          <w:b/>
        </w:rPr>
      </w:pPr>
      <w:r>
        <w:rPr>
          <w:b/>
        </w:rPr>
      </w:r>
    </w:p>
    <w:p>
      <w:pPr>
        <w:pStyle w:val="Parasts2"/>
        <w:suppressAutoHyphens w:val="false"/>
        <w:jc w:val="right"/>
        <w:textAlignment w:val="auto"/>
        <w:rPr/>
      </w:pPr>
      <w:r>
        <w:rPr>
          <w:bCs/>
        </w:rPr>
        <w:t xml:space="preserve">Pielikums Nr. 3                                                                              </w:t>
      </w:r>
    </w:p>
    <w:p>
      <w:pPr>
        <w:pStyle w:val="Parasts2"/>
        <w:suppressAutoHyphens w:val="false"/>
        <w:jc w:val="right"/>
        <w:textAlignment w:val="auto"/>
        <w:rPr>
          <w:lang w:eastAsia="ar-SA"/>
        </w:rPr>
      </w:pPr>
      <w:r>
        <w:rPr>
          <w:bCs/>
        </w:rPr>
        <w:t xml:space="preserve"> </w:t>
      </w:r>
      <w:r>
        <w:rPr>
          <w:bCs/>
        </w:rPr>
        <w:t xml:space="preserve">Cenu aptaujas  </w:t>
      </w:r>
      <w:r>
        <w:rPr>
          <w:b/>
          <w:lang w:eastAsia="ar-SA"/>
        </w:rPr>
        <w:t>“</w:t>
      </w:r>
      <w:r>
        <w:rPr>
          <w:b/>
        </w:rPr>
        <w:t>Gājēju ietves gar Valsts vietējo autoceļu V125 Katvari - Ozoli projektēšana un autoruzraudzība būvdarbu laikā</w:t>
      </w:r>
      <w:r>
        <w:rPr>
          <w:b/>
          <w:lang w:eastAsia="ar-SA"/>
        </w:rPr>
        <w:t>”</w:t>
      </w:r>
    </w:p>
    <w:p>
      <w:pPr>
        <w:pStyle w:val="Parasts2"/>
        <w:jc w:val="center"/>
        <w:rPr>
          <w:b/>
          <w:b/>
        </w:rPr>
      </w:pPr>
      <w:r>
        <w:rPr>
          <w:b/>
        </w:rPr>
      </w:r>
    </w:p>
    <w:p>
      <w:pPr>
        <w:pStyle w:val="Parasts2"/>
        <w:jc w:val="center"/>
        <w:rPr>
          <w:b/>
          <w:b/>
        </w:rPr>
      </w:pPr>
      <w:r>
        <w:rPr>
          <w:b/>
        </w:rPr>
      </w:r>
    </w:p>
    <w:p>
      <w:pPr>
        <w:pStyle w:val="Parasts2"/>
        <w:jc w:val="center"/>
        <w:rPr/>
      </w:pPr>
      <w:r>
        <w:rPr>
          <w:b/>
        </w:rPr>
        <w:t>Apliecinājums par neatkarīgi izstrādātu piedāvājumu</w:t>
      </w:r>
    </w:p>
    <w:p>
      <w:pPr>
        <w:pStyle w:val="Naisf"/>
        <w:spacing w:before="0" w:after="0"/>
        <w:ind w:right="423" w:hanging="0"/>
        <w:rPr>
          <w:lang w:val="lv-LV"/>
        </w:rPr>
      </w:pPr>
      <w:r>
        <w:rPr>
          <w:lang w:val="lv-LV"/>
        </w:rPr>
      </w:r>
    </w:p>
    <w:p>
      <w:pPr>
        <w:pStyle w:val="Naisf"/>
        <w:spacing w:before="0" w:after="0"/>
        <w:ind w:right="423" w:hanging="0"/>
        <w:rPr>
          <w:lang w:val="lv-LV"/>
        </w:rPr>
      </w:pPr>
      <w:r>
        <w:rPr>
          <w:rStyle w:val="Noklusjumarindkopasfonts2"/>
          <w:lang w:val="lv-LV"/>
        </w:rPr>
        <w:t>Ar šo, sniedzot izsmeļošu un patiesu informāciju, _________________, reģ nr.__________</w:t>
      </w:r>
    </w:p>
    <w:p>
      <w:pPr>
        <w:pStyle w:val="Naisf"/>
        <w:spacing w:before="0" w:after="0"/>
        <w:ind w:right="423" w:hanging="0"/>
        <w:jc w:val="right"/>
        <w:rPr>
          <w:lang w:val="lv-LV"/>
        </w:rPr>
      </w:pPr>
      <w:r>
        <w:rPr>
          <w:i/>
          <w:lang w:val="lv-LV"/>
        </w:rPr>
        <w:t>Pretendenta/kandidāta nosaukums, reģ. Nr.</w:t>
      </w:r>
    </w:p>
    <w:p>
      <w:pPr>
        <w:pStyle w:val="Naisf"/>
        <w:spacing w:before="0" w:after="0"/>
        <w:ind w:right="423" w:hanging="0"/>
        <w:rPr>
          <w:lang w:val="lv-LV"/>
        </w:rPr>
      </w:pPr>
      <w:r>
        <w:rPr>
          <w:rStyle w:val="Noklusjumarindkopasfonts2"/>
          <w:lang w:val="lv-LV"/>
        </w:rPr>
        <w:t>(turpmāk – Pretendents) attiecībā uz konkrēto iepirkuma procedūru apliecina, ka</w:t>
      </w:r>
    </w:p>
    <w:p>
      <w:pPr>
        <w:pStyle w:val="Naisf"/>
        <w:spacing w:before="0" w:after="0"/>
        <w:ind w:right="423" w:hanging="0"/>
        <w:rPr>
          <w:lang w:val="lv-LV"/>
        </w:rPr>
      </w:pPr>
      <w:r>
        <w:rPr>
          <w:lang w:val="lv-LV"/>
        </w:rPr>
      </w:r>
    </w:p>
    <w:p>
      <w:pPr>
        <w:pStyle w:val="Parasts2"/>
        <w:ind w:firstLine="709"/>
        <w:jc w:val="both"/>
        <w:rPr/>
      </w:pPr>
      <w:r>
        <w:rPr>
          <w:rStyle w:val="Noklusjumarindkopasfonts2"/>
        </w:rPr>
        <w:t xml:space="preserve">1. </w:t>
      </w:r>
      <w:r>
        <w:rPr/>
        <w:t>Pretendents</w:t>
      </w:r>
      <w:r>
        <w:rPr>
          <w:rStyle w:val="Noklusjumarindkopasfonts2"/>
        </w:rPr>
        <w:t xml:space="preserve"> ir iepazinies un piekrīt šī apliecinājuma saturam</w:t>
      </w:r>
      <w:r>
        <w:rPr/>
        <w:t>.</w:t>
      </w:r>
    </w:p>
    <w:p>
      <w:pPr>
        <w:pStyle w:val="Parasts2"/>
        <w:ind w:firstLine="709"/>
        <w:jc w:val="both"/>
        <w:rPr/>
      </w:pPr>
      <w:r>
        <w:rPr>
          <w:rStyle w:val="Noklusjumarindkopasfonts2"/>
        </w:rPr>
        <w:t xml:space="preserve">2. </w:t>
      </w:r>
      <w:r>
        <w:rPr/>
        <w:t>Pretendents apzinās savu pienākumu šajā apliecinājumā norādīt pilnīgu, izsmeļošu un patiesu informāciju.</w:t>
      </w:r>
    </w:p>
    <w:p>
      <w:pPr>
        <w:pStyle w:val="Parasts2"/>
        <w:ind w:firstLine="709"/>
        <w:jc w:val="both"/>
        <w:rPr/>
      </w:pPr>
      <w:r>
        <w:rPr>
          <w:rStyle w:val="Noklusjumarindkopasfonts2"/>
        </w:rPr>
        <w:t xml:space="preserve">3. </w:t>
      </w:r>
      <w:r>
        <w:rPr/>
        <w:t>Pretendents</w:t>
      </w:r>
      <w:r>
        <w:rPr>
          <w:rStyle w:val="Noklusjumarindkopasfonts2"/>
        </w:rPr>
        <w:t xml:space="preserve"> ir pilnvarojis katru personu, kuras paraksts atrodas uz iepirkuma piedāvājuma, </w:t>
      </w:r>
      <w:r>
        <w:rPr/>
        <w:t>parakstīt šo apliecinājumu Pretendenta vārdā.</w:t>
      </w:r>
    </w:p>
    <w:p>
      <w:pPr>
        <w:pStyle w:val="Parasts2"/>
        <w:ind w:firstLine="709"/>
        <w:jc w:val="both"/>
        <w:rPr/>
      </w:pPr>
      <w:r>
        <w:rPr>
          <w:rStyle w:val="Noklusjumarindkopasfonts2"/>
        </w:rPr>
        <w:t>4. Pretendents informē, ka</w:t>
      </w:r>
      <w:r>
        <w:rPr/>
        <w:t xml:space="preserve"> (</w:t>
      </w:r>
      <w:r>
        <w:rPr>
          <w:rStyle w:val="Noklusjumarindkopasfonts2"/>
          <w:i/>
        </w:rPr>
        <w:t>pēc vajadzības, atzīmējiet vienu no turpmāk minētajiem</w:t>
      </w:r>
      <w:r>
        <w:rPr/>
        <w:t>):</w:t>
      </w:r>
    </w:p>
    <w:tbl>
      <w:tblPr>
        <w:tblW w:w="8457" w:type="dxa"/>
        <w:jc w:val="left"/>
        <w:tblInd w:w="1177" w:type="dxa"/>
        <w:tblLayout w:type="fixed"/>
        <w:tblCellMar>
          <w:top w:w="0" w:type="dxa"/>
          <w:left w:w="108" w:type="dxa"/>
          <w:bottom w:w="0" w:type="dxa"/>
          <w:right w:w="108" w:type="dxa"/>
        </w:tblCellMar>
        <w:tblLook w:firstRow="0" w:noVBand="0" w:lastRow="0" w:firstColumn="0" w:lastColumn="0" w:noHBand="0" w:val="0000"/>
      </w:tblPr>
      <w:tblGrid>
        <w:gridCol w:w="405"/>
        <w:gridCol w:w="8051"/>
      </w:tblGrid>
      <w:tr>
        <w:trPr/>
        <w:tc>
          <w:tcPr>
            <w:tcW w:w="405" w:type="dxa"/>
            <w:tcBorders>
              <w:top w:val="single" w:sz="4" w:space="0" w:color="FFFFFF"/>
              <w:left w:val="single" w:sz="4" w:space="0" w:color="FFFFFF"/>
              <w:bottom w:val="single" w:sz="4" w:space="0" w:color="FFFFFF"/>
              <w:right w:val="single" w:sz="4" w:space="0" w:color="FFFFFF"/>
            </w:tcBorders>
            <w:shd w:color="auto" w:fill="auto" w:val="clear"/>
          </w:tcPr>
          <w:p>
            <w:pPr>
              <w:pStyle w:val="Parasts2"/>
              <w:widowControl w:val="false"/>
              <w:jc w:val="both"/>
              <w:textAlignment w:val="auto"/>
              <w:rPr/>
            </w:pPr>
            <w:r>
              <w:rPr>
                <w:rStyle w:val="Noklusjumarindkopasfonts2"/>
                <w:rFonts w:eastAsia="MS Gothic" w:cs="Segoe UI Symbol" w:ascii="Segoe UI Symbol" w:hAnsi="Segoe UI Symbol"/>
              </w:rPr>
              <w:t>☐</w:t>
            </w:r>
          </w:p>
        </w:tc>
        <w:tc>
          <w:tcPr>
            <w:tcW w:w="8051" w:type="dxa"/>
            <w:tcBorders>
              <w:top w:val="single" w:sz="4" w:space="0" w:color="FFFFFF"/>
              <w:left w:val="single" w:sz="4" w:space="0" w:color="FFFFFF"/>
              <w:bottom w:val="single" w:sz="4" w:space="0" w:color="FFFFFF"/>
              <w:right w:val="single" w:sz="4" w:space="0" w:color="FFFFFF"/>
            </w:tcBorders>
            <w:shd w:color="auto" w:fill="auto" w:val="clear"/>
          </w:tcPr>
          <w:p>
            <w:pPr>
              <w:pStyle w:val="Parasts2"/>
              <w:widowControl w:val="false"/>
              <w:jc w:val="both"/>
              <w:textAlignment w:val="auto"/>
              <w:rPr/>
            </w:pPr>
            <w:r>
              <w:rPr>
                <w:rStyle w:val="Noklusjumarindkopasfonts2"/>
              </w:rPr>
              <w:t>4.1. ir iesniedzis piedāvājumu neatkarīgi no konkurentiem</w:t>
            </w:r>
            <w:r>
              <w:rPr>
                <w:rStyle w:val="Vresenkurs"/>
              </w:rPr>
              <w:footnoteReference w:id="2"/>
            </w:r>
            <w:r>
              <w:rPr>
                <w:rStyle w:val="Noklusjumarindkopasfonts2"/>
              </w:rPr>
              <w:t xml:space="preserve"> un bez konsultācijām, līgumiem vai vienošanām, vai cita veida saziņas ar konkurentiem;</w:t>
            </w:r>
          </w:p>
        </w:tc>
      </w:tr>
      <w:tr>
        <w:trPr/>
        <w:tc>
          <w:tcPr>
            <w:tcW w:w="405" w:type="dxa"/>
            <w:tcBorders>
              <w:top w:val="single" w:sz="4" w:space="0" w:color="FFFFFF"/>
              <w:left w:val="single" w:sz="4" w:space="0" w:color="FFFFFF"/>
              <w:bottom w:val="single" w:sz="4" w:space="0" w:color="FFFFFF"/>
              <w:right w:val="single" w:sz="4" w:space="0" w:color="FFFFFF"/>
            </w:tcBorders>
            <w:shd w:color="auto" w:fill="auto" w:val="clear"/>
          </w:tcPr>
          <w:p>
            <w:pPr>
              <w:pStyle w:val="Parasts2"/>
              <w:widowControl w:val="false"/>
              <w:jc w:val="both"/>
              <w:textAlignment w:val="auto"/>
              <w:rPr/>
            </w:pPr>
            <w:r>
              <w:rPr>
                <w:rStyle w:val="Noklusjumarindkopasfonts2"/>
                <w:rFonts w:eastAsia="MS Gothic" w:cs="Segoe UI Symbol" w:ascii="Segoe UI Symbol" w:hAnsi="Segoe UI Symbol"/>
              </w:rPr>
              <w:t>☐</w:t>
            </w:r>
          </w:p>
        </w:tc>
        <w:tc>
          <w:tcPr>
            <w:tcW w:w="8051" w:type="dxa"/>
            <w:tcBorders>
              <w:top w:val="single" w:sz="4" w:space="0" w:color="FFFFFF"/>
              <w:left w:val="single" w:sz="4" w:space="0" w:color="FFFFFF"/>
              <w:bottom w:val="single" w:sz="4" w:space="0" w:color="FFFFFF"/>
              <w:right w:val="single" w:sz="4" w:space="0" w:color="FFFFFF"/>
            </w:tcBorders>
            <w:shd w:color="auto" w:fill="auto" w:val="clear"/>
          </w:tcPr>
          <w:p>
            <w:pPr>
              <w:pStyle w:val="Parasts2"/>
              <w:widowControl w:val="false"/>
              <w:jc w:val="both"/>
              <w:textAlignment w:val="auto"/>
              <w:rPr/>
            </w:pPr>
            <w:r>
              <w:rPr>
                <w:rStyle w:val="Noklusjumarindkopasfonts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pPr>
        <w:pStyle w:val="Parasts2"/>
        <w:jc w:val="both"/>
        <w:rPr/>
      </w:pPr>
      <w:r>
        <w:rPr/>
      </w:r>
    </w:p>
    <w:p>
      <w:pPr>
        <w:pStyle w:val="Parasts2"/>
        <w:ind w:firstLine="720"/>
        <w:jc w:val="both"/>
        <w:rPr/>
      </w:pPr>
      <w:r>
        <w:rPr>
          <w:rStyle w:val="Noklusjumarindkopasfonts2"/>
        </w:rPr>
        <w:t>5. P</w:t>
      </w:r>
      <w:r>
        <w:rPr/>
        <w:t>retendentam, izņemot gadījumu, kad pretendents šādu saziņu ir paziņojis saskaņā ar šī apliecinājuma 4.2. apakšpunktu, ne ar vienu konkurentu nav bijusi saziņa attiecībā uz:</w:t>
      </w:r>
    </w:p>
    <w:p>
      <w:pPr>
        <w:pStyle w:val="Parasts2"/>
        <w:ind w:left="720" w:firstLine="720"/>
        <w:jc w:val="both"/>
        <w:rPr/>
      </w:pPr>
      <w:r>
        <w:rPr/>
        <w:t>5.1. cenām;</w:t>
      </w:r>
    </w:p>
    <w:p>
      <w:pPr>
        <w:pStyle w:val="Parasts2"/>
        <w:ind w:left="720" w:firstLine="720"/>
        <w:jc w:val="both"/>
        <w:rPr/>
      </w:pPr>
      <w:r>
        <w:rPr/>
        <w:t>5.2. cenas aprēķināšanas metodēm, faktoriem (apstākļiem) vai formulām;</w:t>
      </w:r>
    </w:p>
    <w:p>
      <w:pPr>
        <w:pStyle w:val="Parasts2"/>
        <w:ind w:left="1440" w:hanging="0"/>
        <w:jc w:val="both"/>
        <w:rPr/>
      </w:pPr>
      <w:r>
        <w:rPr/>
        <w:t>5.3. nodomu vai lēmumu piedalīties vai nepiedalīties iepirkumā (iesniegt vai neiesniegt piedāvājumu); vai</w:t>
      </w:r>
    </w:p>
    <w:p>
      <w:pPr>
        <w:pStyle w:val="Parasts2"/>
        <w:ind w:left="720" w:firstLine="720"/>
        <w:jc w:val="both"/>
        <w:rPr/>
      </w:pPr>
      <w:r>
        <w:rPr/>
        <w:t xml:space="preserve">5.4. tādu piedāvājuma iesniegšanu, kas neatbilst iepirkuma prasībām; </w:t>
      </w:r>
    </w:p>
    <w:p>
      <w:pPr>
        <w:pStyle w:val="Parasts2"/>
        <w:ind w:left="1440" w:hanging="0"/>
        <w:jc w:val="both"/>
        <w:rPr/>
      </w:pPr>
      <w:r>
        <w:rPr/>
        <w:t>5.5. kvalitāti, apjomu, specifikāciju, izpildes, piegādes vai citiem nosacījumiem, kas risināmi neatkarīgi no konkurentiem, tiem produktiem vai pakalpojumiem, uz ko attiecas šis iepirkums.</w:t>
      </w:r>
    </w:p>
    <w:p>
      <w:pPr>
        <w:pStyle w:val="Parasts2"/>
        <w:ind w:firstLine="709"/>
        <w:jc w:val="both"/>
        <w:rPr/>
      </w:pPr>
      <w:r>
        <w:rPr>
          <w:rStyle w:val="Noklusjumarindkopasfonts2"/>
        </w:rPr>
        <w:t>6.</w:t>
      </w:r>
      <w:r>
        <w:rPr/>
        <w:t xml:space="preserve"> </w:t>
      </w:r>
      <w:r>
        <w:rPr>
          <w:rStyle w:val="Noklusjumarindkopasfonts2"/>
        </w:rPr>
        <w:t xml:space="preserve">Pretendents nav </w:t>
      </w:r>
      <w:r>
        <w:rPr/>
        <w:t>apzināti, tieši vai netieši</w:t>
      </w:r>
      <w:r>
        <w:rPr>
          <w:rStyle w:val="Noklusjumarindkopasfonts2"/>
        </w:rPr>
        <w:t xml:space="preserve"> atklājis un neatklās piedāvājuma noteikumus</w:t>
      </w:r>
      <w:r>
        <w:rPr/>
        <w:t xml:space="preserve"> nevienam konkurentam pirms oficiālā piedāvājumu atvēršanas datuma un laika vai līguma slēgšanas tiesību piešķiršanas, vai arī tas ir īpaši atklāts saskaņā šī apliecinājuma ar 4.2. apakšpunktu.</w:t>
      </w:r>
    </w:p>
    <w:p>
      <w:pPr>
        <w:pStyle w:val="Parasts2"/>
        <w:ind w:firstLine="709"/>
        <w:jc w:val="both"/>
        <w:rPr/>
      </w:pPr>
      <w:r>
        <w:rPr>
          <w:rStyle w:val="Noklusjumarindkopasfonts2"/>
        </w:rPr>
        <w:t xml:space="preserve">7. </w:t>
      </w:r>
      <w:r>
        <w:rPr/>
        <w:t xml:space="preserve">Pretendents apzinās, ka Konkurences likumā noteikta atbildība par aizliegtām vienošanām, paredzot naudas sodu līdz 10% apmēram no pārkāpēja pēdējā finanšu gada neto apgrozījuma, un Publisko iepirkumu likums paredz uz 36 mēnešiem izslēgt pretendentu no dalības iepirkuma procedūrā. </w:t>
      </w:r>
      <w:r>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pPr>
        <w:pStyle w:val="Parasts2"/>
        <w:rPr>
          <w:lang w:eastAsia="ru-RU"/>
        </w:rPr>
      </w:pPr>
      <w:r>
        <w:rPr>
          <w:lang w:eastAsia="ru-RU"/>
        </w:rPr>
      </w:r>
    </w:p>
    <w:p>
      <w:pPr>
        <w:pStyle w:val="Parasts2"/>
        <w:rPr/>
      </w:pPr>
      <w:r>
        <w:rPr>
          <w:lang w:eastAsia="ru-RU"/>
        </w:rPr>
        <w:t>Datums __.___.2023.</w:t>
        <w:tab/>
        <w:tab/>
        <w:tab/>
        <w:t xml:space="preserve">                </w:t>
        <w:tab/>
      </w:r>
    </w:p>
    <w:tbl>
      <w:tblPr>
        <w:tblW w:w="8436"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1839"/>
        <w:gridCol w:w="1650"/>
        <w:gridCol w:w="1649"/>
        <w:gridCol w:w="1647"/>
        <w:gridCol w:w="1651"/>
      </w:tblGrid>
      <w:tr>
        <w:trPr>
          <w:trHeight w:val="269" w:hRule="atLeast"/>
        </w:trPr>
        <w:tc>
          <w:tcPr>
            <w:tcW w:w="1839" w:type="dxa"/>
            <w:tcBorders/>
            <w:shd w:color="auto" w:fill="auto" w:val="clear"/>
          </w:tcPr>
          <w:p>
            <w:pPr>
              <w:pStyle w:val="Parasts2"/>
              <w:widowControl w:val="false"/>
              <w:rPr/>
            </w:pPr>
            <w:r>
              <w:rPr/>
            </w:r>
          </w:p>
        </w:tc>
        <w:tc>
          <w:tcPr>
            <w:tcW w:w="1650" w:type="dxa"/>
            <w:tcBorders/>
            <w:shd w:color="auto" w:fill="auto" w:val="clear"/>
          </w:tcPr>
          <w:p>
            <w:pPr>
              <w:pStyle w:val="Parasts2"/>
              <w:widowControl w:val="false"/>
              <w:jc w:val="center"/>
              <w:rPr>
                <w:lang w:eastAsia="ru-RU"/>
              </w:rPr>
            </w:pPr>
            <w:r>
              <w:rPr>
                <w:lang w:eastAsia="ru-RU"/>
              </w:rPr>
            </w:r>
          </w:p>
        </w:tc>
        <w:tc>
          <w:tcPr>
            <w:tcW w:w="1649" w:type="dxa"/>
            <w:tcBorders/>
            <w:shd w:color="auto" w:fill="auto" w:val="clear"/>
          </w:tcPr>
          <w:p>
            <w:pPr>
              <w:pStyle w:val="Parasts2"/>
              <w:widowControl w:val="false"/>
              <w:jc w:val="center"/>
              <w:rPr>
                <w:lang w:eastAsia="ru-RU"/>
              </w:rPr>
            </w:pPr>
            <w:r>
              <w:rPr>
                <w:lang w:eastAsia="ru-RU"/>
              </w:rPr>
            </w:r>
          </w:p>
        </w:tc>
        <w:tc>
          <w:tcPr>
            <w:tcW w:w="1647" w:type="dxa"/>
            <w:tcBorders/>
            <w:shd w:color="auto" w:fill="auto" w:val="clear"/>
          </w:tcPr>
          <w:p>
            <w:pPr>
              <w:pStyle w:val="Parasts2"/>
              <w:widowControl w:val="false"/>
              <w:jc w:val="center"/>
              <w:rPr>
                <w:lang w:eastAsia="ru-RU"/>
              </w:rPr>
            </w:pPr>
            <w:r>
              <w:rPr>
                <w:lang w:eastAsia="ru-RU"/>
              </w:rPr>
            </w:r>
          </w:p>
        </w:tc>
        <w:tc>
          <w:tcPr>
            <w:tcW w:w="1651" w:type="dxa"/>
            <w:tcBorders>
              <w:top w:val="single" w:sz="4" w:space="0" w:color="000000"/>
            </w:tcBorders>
            <w:shd w:color="auto" w:fill="auto" w:val="clear"/>
          </w:tcPr>
          <w:p>
            <w:pPr>
              <w:pStyle w:val="Parasts2"/>
              <w:widowControl w:val="false"/>
              <w:jc w:val="center"/>
              <w:rPr/>
            </w:pPr>
            <w:r>
              <w:rPr>
                <w:lang w:eastAsia="ru-RU"/>
              </w:rPr>
              <w:t>Paraksts</w:t>
            </w:r>
          </w:p>
        </w:tc>
      </w:tr>
    </w:tbl>
    <w:p>
      <w:pPr>
        <w:pStyle w:val="Naisnod"/>
        <w:spacing w:before="0" w:after="0"/>
        <w:jc w:val="left"/>
        <w:rPr>
          <w:b w:val="false"/>
          <w:b w:val="false"/>
        </w:rPr>
      </w:pPr>
      <w:r>
        <w:rPr/>
        <w:t xml:space="preserve">                                                      </w:t>
      </w:r>
    </w:p>
    <w:sectPr>
      <w:footnotePr>
        <w:numFmt w:val="decimal"/>
      </w:footnotePr>
      <w:type w:val="nextPage"/>
      <w:pgSz w:w="11906" w:h="16838"/>
      <w:pgMar w:left="1701" w:right="567" w:gutter="0" w:header="0" w:top="1134" w:footer="0" w:bottom="113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Calibri">
    <w:charset w:val="01"/>
    <w:family w:val="roman"/>
    <w:pitch w:val="default"/>
  </w:font>
  <w:font w:name="Times New Roman">
    <w:charset w:val="01"/>
    <w:family w:val="roman"/>
    <w:pitch w:val="default"/>
  </w:font>
  <w:font w:name="Arial">
    <w:charset w:val="01"/>
    <w:family w:val="roman"/>
    <w:pitch w:val="default"/>
  </w:font>
  <w:font w:name="Tahoma">
    <w:charset w:val="01"/>
    <w:family w:val="roman"/>
    <w:pitch w:val="default"/>
  </w:font>
  <w:font w:name="Courier New">
    <w:charset w:val="01"/>
    <w:family w:val="roman"/>
    <w:pitch w:val="default"/>
  </w:font>
  <w:font w:name="Consolas">
    <w:charset w:val="01"/>
    <w:family w:val="roman"/>
    <w:pitch w:val="default"/>
  </w:font>
  <w:font w:name="Segoe UI">
    <w:charset w:val="01"/>
    <w:family w:val="roman"/>
    <w:pitch w:val="default"/>
  </w:font>
  <w:font w:name="Carlito">
    <w:altName w:val="Calibri"/>
    <w:charset w:val="01"/>
    <w:family w:val="roman"/>
    <w:pitch w:val="default"/>
  </w:font>
  <w:font w:name="Segoe UI Symbol">
    <w:charset w:val="01"/>
    <w:family w:val="roman"/>
    <w:pitch w:val="default"/>
  </w:font>
  <w:font w:name="Courier New">
    <w:charset w:val="01"/>
    <w:family w:val="modern"/>
    <w:pitch w:val="fixed"/>
  </w:font>
  <w:font w:name="Wingdings">
    <w:charset w:val="02"/>
    <w:family w:val="auto"/>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Vresteksts1"/>
        <w:widowControl w:val="false"/>
        <w:rPr/>
      </w:pPr>
      <w:r>
        <w:rPr>
          <w:rStyle w:val="Vresrakstzmes"/>
        </w:rPr>
        <w:footnoteRef/>
      </w:r>
      <w:r>
        <w:rPr>
          <w:rStyle w:val="Noklusjumarindkopasfonts2"/>
          <w:sz w:val="18"/>
          <w:szCs w:val="18"/>
        </w:rPr>
        <w:t xml:space="preserve"> </w:t>
      </w:r>
      <w:r>
        <w:rPr>
          <w:rStyle w:val="Noklusjumarindkopasfonts2"/>
          <w:sz w:val="18"/>
          <w:szCs w:val="18"/>
        </w:rPr>
        <w:t>Šī apliecinājuma kontekstā ar terminu „konkurents” apzīmē jebkuru fizisku vai juridisku personu, kura nav Pretendents un kura:</w:t>
      </w:r>
    </w:p>
    <w:p>
      <w:pPr>
        <w:pStyle w:val="Vresteksts1"/>
        <w:widowControl w:val="false"/>
        <w:ind w:left="284" w:hanging="339"/>
        <w:rPr/>
      </w:pPr>
      <w:r>
        <w:rPr>
          <w:sz w:val="18"/>
          <w:szCs w:val="18"/>
        </w:rPr>
        <w:t>1) iesniedz piedāvājumu šim iepirkumam;</w:t>
      </w:r>
    </w:p>
    <w:p>
      <w:pPr>
        <w:pStyle w:val="Vresteksts1"/>
        <w:widowControl w:val="false"/>
        <w:ind w:left="284" w:hanging="339"/>
        <w:rPr>
          <w:sz w:val="18"/>
          <w:szCs w:val="18"/>
        </w:rPr>
      </w:pPr>
      <w:r>
        <w:rPr>
          <w:sz w:val="18"/>
          <w:szCs w:val="18"/>
        </w:rPr>
        <w:t>2) ņemot vērā tās kvalifikāciju, spējas vai pieredzi, kā arī piedāvātās preces vai pakalpojumus, varētu iesniegt piedāvājumu šim iepirkumam.</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432" w:hanging="432"/>
      </w:pPr>
      <w:rPr/>
    </w:lvl>
    <w:lvl w:ilvl="1">
      <w:start w:val="4"/>
      <w:pStyle w:val="Virsraksts2"/>
      <w:numFmt w:val="decimal"/>
      <w:lvlText w:val="%1.%2"/>
      <w:lvlJc w:val="left"/>
      <w:pPr>
        <w:tabs>
          <w:tab w:val="num" w:pos="0"/>
        </w:tabs>
        <w:ind w:left="576" w:hanging="576"/>
      </w:pPr>
      <w:rPr/>
    </w:lvl>
    <w:lvl w:ilvl="2">
      <w:start w:val="1"/>
      <w:pStyle w:val="Virsraksts3"/>
      <w:numFmt w:val="decimal"/>
      <w:lvlText w:val="%1.%2.%3"/>
      <w:lvlJc w:val="left"/>
      <w:pPr>
        <w:tabs>
          <w:tab w:val="num" w:pos="0"/>
        </w:tabs>
        <w:ind w:left="720" w:hanging="720"/>
      </w:pPr>
      <w:rPr/>
    </w:lvl>
    <w:lvl w:ilvl="3">
      <w:start w:val="1"/>
      <w:pStyle w:val="Virsraksts4"/>
      <w:numFmt w:val="decimal"/>
      <w:lvlText w:val="%1.%2.%3.%4"/>
      <w:lvlJc w:val="left"/>
      <w:pPr>
        <w:tabs>
          <w:tab w:val="num" w:pos="0"/>
        </w:tabs>
        <w:ind w:left="864" w:hanging="864"/>
      </w:pPr>
      <w:rPr/>
    </w:lvl>
    <w:lvl w:ilvl="4">
      <w:start w:val="1"/>
      <w:pStyle w:val="Virsraksts5"/>
      <w:numFmt w:val="decimal"/>
      <w:lvlText w:val="%1.%2.%3.%4.%5"/>
      <w:lvlJc w:val="left"/>
      <w:pPr>
        <w:tabs>
          <w:tab w:val="num" w:pos="0"/>
        </w:tabs>
        <w:ind w:left="1008" w:hanging="1008"/>
      </w:pPr>
      <w:rPr/>
    </w:lvl>
    <w:lvl w:ilvl="5">
      <w:start w:val="1"/>
      <w:pStyle w:val="Virsraksts6"/>
      <w:numFmt w:val="decimal"/>
      <w:lvlText w:val="%1.%2.%3.%4.%5.%6"/>
      <w:lvlJc w:val="left"/>
      <w:pPr>
        <w:tabs>
          <w:tab w:val="num" w:pos="0"/>
        </w:tabs>
        <w:ind w:left="1152" w:hanging="1152"/>
      </w:pPr>
      <w:rPr/>
    </w:lvl>
    <w:lvl w:ilvl="6">
      <w:start w:val="1"/>
      <w:pStyle w:val="Virsraksts7"/>
      <w:numFmt w:val="decimal"/>
      <w:lvlText w:val="%1.%2.%3.%4.%5.%6.%7"/>
      <w:lvlJc w:val="left"/>
      <w:pPr>
        <w:tabs>
          <w:tab w:val="num" w:pos="0"/>
        </w:tabs>
        <w:ind w:left="1296" w:hanging="1296"/>
      </w:pPr>
      <w:rPr/>
    </w:lvl>
    <w:lvl w:ilvl="7">
      <w:start w:val="1"/>
      <w:pStyle w:val="Virsraksts8"/>
      <w:numFmt w:val="decimal"/>
      <w:lvlText w:val="%1.%2.%3.%4.%5.%6.%7.%8"/>
      <w:lvlJc w:val="left"/>
      <w:pPr>
        <w:tabs>
          <w:tab w:val="num" w:pos="0"/>
        </w:tabs>
        <w:ind w:left="1440" w:hanging="1440"/>
      </w:pPr>
      <w:rPr/>
    </w:lvl>
    <w:lvl w:ilvl="8">
      <w:start w:val="1"/>
      <w:pStyle w:val="Virsraksts9"/>
      <w:numFmt w:val="decimal"/>
      <w:lvlText w:val="%1.%2.%3.%4.%5.%6.%7.%8.%9"/>
      <w:lvlJc w:val="left"/>
      <w:pPr>
        <w:tabs>
          <w:tab w:val="num" w:pos="0"/>
        </w:tabs>
        <w:ind w:left="1584" w:hanging="1584"/>
      </w:pPr>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36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decimal"/>
      <w:lvlText w:val="%1."/>
      <w:lvlJc w:val="left"/>
      <w:pPr>
        <w:tabs>
          <w:tab w:val="num" w:pos="0"/>
        </w:tabs>
        <w:ind w:left="360" w:hanging="360"/>
      </w:pPr>
      <w:rPr/>
    </w:lvl>
    <w:lvl w:ilvl="1">
      <w:start w:val="1"/>
      <w:numFmt w:val="decimal"/>
      <w:lvlText w:val="%1.%2."/>
      <w:lvlJc w:val="left"/>
      <w:pPr>
        <w:tabs>
          <w:tab w:val="num" w:pos="0"/>
        </w:tabs>
        <w:ind w:left="360" w:hanging="36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800" w:hanging="180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mirrorMargins/>
  <w:defaultTabStop w:val="720"/>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lv-LV"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lv-LV" w:eastAsia="lv-LV"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uiPriority="0"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f3440"/>
    <w:pPr>
      <w:widowControl/>
      <w:suppressAutoHyphens w:val="true"/>
      <w:bidi w:val="0"/>
      <w:spacing w:before="0" w:after="0"/>
      <w:jc w:val="left"/>
    </w:pPr>
    <w:rPr>
      <w:rFonts w:ascii="Times New Roman" w:hAnsi="Times New Roman" w:eastAsia="Times New Roman" w:cs="Times New Roman"/>
      <w:color w:val="auto"/>
      <w:kern w:val="0"/>
      <w:sz w:val="24"/>
      <w:szCs w:val="24"/>
      <w:lang w:val="lv-LV" w:eastAsia="lv-LV" w:bidi="ar-SA"/>
    </w:rPr>
  </w:style>
  <w:style w:type="paragraph" w:styleId="Virsraksts1">
    <w:name w:val="Heading 1"/>
    <w:basedOn w:val="Normal"/>
    <w:next w:val="Normal"/>
    <w:link w:val="Virsraksts1Rakstz"/>
    <w:uiPriority w:val="1"/>
    <w:qFormat/>
    <w:rsid w:val="001f3440"/>
    <w:pPr>
      <w:keepNext w:val="true"/>
      <w:jc w:val="center"/>
      <w:outlineLvl w:val="0"/>
    </w:pPr>
    <w:rPr>
      <w:b/>
      <w:bCs/>
      <w:sz w:val="28"/>
      <w:lang w:val="en-GB" w:eastAsia="en-US"/>
    </w:rPr>
  </w:style>
  <w:style w:type="paragraph" w:styleId="Virsraksts2">
    <w:name w:val="Heading 2"/>
    <w:basedOn w:val="Normal"/>
    <w:next w:val="Normal"/>
    <w:link w:val="Virsraksts2Rakstz"/>
    <w:uiPriority w:val="99"/>
    <w:qFormat/>
    <w:rsid w:val="00986086"/>
    <w:pPr>
      <w:keepNext w:val="true"/>
      <w:numPr>
        <w:ilvl w:val="1"/>
        <w:numId w:val="1"/>
      </w:numPr>
      <w:spacing w:before="240" w:after="60"/>
      <w:outlineLvl w:val="1"/>
    </w:pPr>
    <w:rPr>
      <w:bCs/>
      <w:iCs/>
      <w:color w:val="000000"/>
      <w:szCs w:val="28"/>
      <w:lang w:eastAsia="en-US"/>
    </w:rPr>
  </w:style>
  <w:style w:type="paragraph" w:styleId="Virsraksts3">
    <w:name w:val="Heading 3"/>
    <w:basedOn w:val="Normal"/>
    <w:next w:val="Normal"/>
    <w:link w:val="Virsraksts3Rakstz"/>
    <w:qFormat/>
    <w:rsid w:val="00986086"/>
    <w:pPr>
      <w:keepNext w:val="true"/>
      <w:numPr>
        <w:ilvl w:val="2"/>
        <w:numId w:val="1"/>
      </w:numPr>
      <w:spacing w:before="240" w:after="60"/>
      <w:outlineLvl w:val="2"/>
    </w:pPr>
    <w:rPr>
      <w:bCs/>
      <w:szCs w:val="26"/>
      <w:lang w:val="en-GB" w:eastAsia="en-US"/>
    </w:rPr>
  </w:style>
  <w:style w:type="paragraph" w:styleId="Virsraksts4">
    <w:name w:val="Heading 4"/>
    <w:basedOn w:val="Normal"/>
    <w:next w:val="Normal"/>
    <w:link w:val="Virsraksts4Rakstz"/>
    <w:qFormat/>
    <w:rsid w:val="00986086"/>
    <w:pPr>
      <w:keepNext w:val="true"/>
      <w:numPr>
        <w:ilvl w:val="3"/>
        <w:numId w:val="1"/>
      </w:numPr>
      <w:spacing w:before="240" w:after="60"/>
      <w:outlineLvl w:val="3"/>
    </w:pPr>
    <w:rPr>
      <w:bCs/>
      <w:szCs w:val="28"/>
      <w:lang w:val="en-GB" w:eastAsia="en-US"/>
    </w:rPr>
  </w:style>
  <w:style w:type="paragraph" w:styleId="Virsraksts5">
    <w:name w:val="Heading 5"/>
    <w:basedOn w:val="Normal"/>
    <w:next w:val="Normal"/>
    <w:link w:val="Virsraksts5Rakstz"/>
    <w:qFormat/>
    <w:rsid w:val="00986086"/>
    <w:pPr>
      <w:numPr>
        <w:ilvl w:val="4"/>
        <w:numId w:val="1"/>
      </w:numPr>
      <w:spacing w:before="240" w:after="60"/>
      <w:outlineLvl w:val="4"/>
    </w:pPr>
    <w:rPr>
      <w:b/>
      <w:bCs/>
      <w:i/>
      <w:iCs/>
      <w:sz w:val="26"/>
      <w:szCs w:val="26"/>
      <w:lang w:val="en-GB" w:eastAsia="en-US"/>
    </w:rPr>
  </w:style>
  <w:style w:type="paragraph" w:styleId="Virsraksts6">
    <w:name w:val="Heading 6"/>
    <w:basedOn w:val="Normal"/>
    <w:next w:val="Normal"/>
    <w:link w:val="Virsraksts6Rakstz"/>
    <w:qFormat/>
    <w:rsid w:val="00986086"/>
    <w:pPr>
      <w:numPr>
        <w:ilvl w:val="5"/>
        <w:numId w:val="1"/>
      </w:numPr>
      <w:spacing w:before="240" w:after="60"/>
      <w:outlineLvl w:val="5"/>
    </w:pPr>
    <w:rPr>
      <w:b/>
      <w:bCs/>
      <w:sz w:val="22"/>
      <w:szCs w:val="22"/>
      <w:lang w:val="en-GB" w:eastAsia="en-US"/>
    </w:rPr>
  </w:style>
  <w:style w:type="paragraph" w:styleId="Virsraksts7">
    <w:name w:val="Heading 7"/>
    <w:basedOn w:val="Normal"/>
    <w:next w:val="Normal"/>
    <w:link w:val="Virsraksts7Rakstz"/>
    <w:qFormat/>
    <w:rsid w:val="00986086"/>
    <w:pPr>
      <w:numPr>
        <w:ilvl w:val="6"/>
        <w:numId w:val="1"/>
      </w:numPr>
      <w:spacing w:before="240" w:after="60"/>
      <w:outlineLvl w:val="6"/>
    </w:pPr>
    <w:rPr>
      <w:lang w:val="en-GB" w:eastAsia="en-US"/>
    </w:rPr>
  </w:style>
  <w:style w:type="paragraph" w:styleId="Virsraksts8">
    <w:name w:val="Heading 8"/>
    <w:basedOn w:val="Normal"/>
    <w:next w:val="Normal"/>
    <w:link w:val="Virsraksts8Rakstz"/>
    <w:qFormat/>
    <w:rsid w:val="00986086"/>
    <w:pPr>
      <w:numPr>
        <w:ilvl w:val="7"/>
        <w:numId w:val="1"/>
      </w:numPr>
      <w:spacing w:before="240" w:after="60"/>
      <w:outlineLvl w:val="7"/>
    </w:pPr>
    <w:rPr>
      <w:i/>
      <w:iCs/>
      <w:lang w:val="en-GB" w:eastAsia="en-US"/>
    </w:rPr>
  </w:style>
  <w:style w:type="paragraph" w:styleId="Virsraksts9">
    <w:name w:val="Heading 9"/>
    <w:basedOn w:val="Normal"/>
    <w:next w:val="Normal"/>
    <w:link w:val="Virsraksts9Rakstz"/>
    <w:qFormat/>
    <w:rsid w:val="00986086"/>
    <w:pPr>
      <w:numPr>
        <w:ilvl w:val="8"/>
        <w:numId w:val="1"/>
      </w:numPr>
      <w:spacing w:before="240" w:after="60"/>
      <w:outlineLvl w:val="8"/>
    </w:pPr>
    <w:rPr>
      <w:rFonts w:ascii="Arial" w:hAnsi="Arial"/>
      <w:sz w:val="22"/>
      <w:szCs w:val="22"/>
      <w:lang w:val="en-GB" w:eastAsia="en-US"/>
    </w:rPr>
  </w:style>
  <w:style w:type="character" w:styleId="DefaultParagraphFont" w:default="1">
    <w:name w:val="Default Paragraph Font"/>
    <w:uiPriority w:val="1"/>
    <w:semiHidden/>
    <w:unhideWhenUsed/>
    <w:qFormat/>
    <w:rPr/>
  </w:style>
  <w:style w:type="character" w:styleId="Virsraksts1Rakstz" w:customStyle="1">
    <w:name w:val="Virsraksts 1 Rakstz."/>
    <w:uiPriority w:val="1"/>
    <w:qFormat/>
    <w:rsid w:val="001f3440"/>
    <w:rPr>
      <w:rFonts w:ascii="Times New Roman" w:hAnsi="Times New Roman" w:eastAsia="Times New Roman" w:cs="Times New Roman"/>
      <w:b/>
      <w:bCs/>
      <w:sz w:val="28"/>
      <w:szCs w:val="24"/>
      <w:lang w:val="en-GB"/>
    </w:rPr>
  </w:style>
  <w:style w:type="character" w:styleId="NosaukumsRakstz" w:customStyle="1">
    <w:name w:val="Nosaukums Rakstz."/>
    <w:uiPriority w:val="1"/>
    <w:qFormat/>
    <w:rsid w:val="001f3440"/>
    <w:rPr>
      <w:rFonts w:ascii="Times New Roman" w:hAnsi="Times New Roman" w:eastAsia="Times New Roman" w:cs="Times New Roman"/>
      <w:b/>
      <w:bCs/>
      <w:sz w:val="24"/>
      <w:szCs w:val="24"/>
      <w:lang w:val="en-GB"/>
    </w:rPr>
  </w:style>
  <w:style w:type="character" w:styleId="GalveneRakstz" w:customStyle="1">
    <w:name w:val="Galvene Rakstz."/>
    <w:qFormat/>
    <w:rsid w:val="00c432d4"/>
    <w:rPr>
      <w:rFonts w:ascii="Times New Roman" w:hAnsi="Times New Roman" w:eastAsia="Times New Roman"/>
      <w:sz w:val="24"/>
      <w:szCs w:val="24"/>
      <w:lang w:val="lv-LV" w:eastAsia="lv-LV"/>
    </w:rPr>
  </w:style>
  <w:style w:type="character" w:styleId="KjeneRakstz" w:customStyle="1">
    <w:name w:val="Kājene Rakstz."/>
    <w:qFormat/>
    <w:rsid w:val="00c432d4"/>
    <w:rPr>
      <w:rFonts w:ascii="Times New Roman" w:hAnsi="Times New Roman" w:eastAsia="Times New Roman"/>
      <w:sz w:val="24"/>
      <w:szCs w:val="24"/>
      <w:lang w:val="lv-LV" w:eastAsia="lv-LV"/>
    </w:rPr>
  </w:style>
  <w:style w:type="character" w:styleId="BalontekstsRakstz" w:customStyle="1">
    <w:name w:val="Balonteksts Rakstz."/>
    <w:basedOn w:val="DefaultParagraphFont"/>
    <w:link w:val="BalloonText"/>
    <w:uiPriority w:val="99"/>
    <w:qFormat/>
    <w:rsid w:val="00874ae5"/>
    <w:rPr>
      <w:rFonts w:ascii="Tahoma" w:hAnsi="Tahoma" w:eastAsia="Times New Roman" w:cs="Tahoma"/>
      <w:sz w:val="16"/>
      <w:szCs w:val="16"/>
    </w:rPr>
  </w:style>
  <w:style w:type="character" w:styleId="Virsraksts2Rakstz" w:customStyle="1">
    <w:name w:val="Virsraksts 2 Rakstz."/>
    <w:basedOn w:val="DefaultParagraphFont"/>
    <w:qFormat/>
    <w:rsid w:val="00986086"/>
    <w:rPr>
      <w:rFonts w:ascii="Times New Roman" w:hAnsi="Times New Roman" w:eastAsia="Times New Roman"/>
      <w:bCs/>
      <w:iCs/>
      <w:color w:val="000000"/>
      <w:sz w:val="24"/>
      <w:szCs w:val="28"/>
      <w:lang w:eastAsia="en-US"/>
    </w:rPr>
  </w:style>
  <w:style w:type="character" w:styleId="Virsraksts3Rakstz" w:customStyle="1">
    <w:name w:val="Virsraksts 3 Rakstz."/>
    <w:basedOn w:val="DefaultParagraphFont"/>
    <w:qFormat/>
    <w:rsid w:val="00986086"/>
    <w:rPr>
      <w:rFonts w:ascii="Times New Roman" w:hAnsi="Times New Roman" w:eastAsia="Times New Roman"/>
      <w:bCs/>
      <w:sz w:val="24"/>
      <w:szCs w:val="26"/>
      <w:lang w:val="en-GB" w:eastAsia="en-US"/>
    </w:rPr>
  </w:style>
  <w:style w:type="character" w:styleId="Virsraksts4Rakstz" w:customStyle="1">
    <w:name w:val="Virsraksts 4 Rakstz."/>
    <w:basedOn w:val="DefaultParagraphFont"/>
    <w:qFormat/>
    <w:rsid w:val="00986086"/>
    <w:rPr>
      <w:rFonts w:ascii="Times New Roman" w:hAnsi="Times New Roman" w:eastAsia="Times New Roman"/>
      <w:bCs/>
      <w:sz w:val="24"/>
      <w:szCs w:val="28"/>
      <w:lang w:val="en-GB" w:eastAsia="en-US"/>
    </w:rPr>
  </w:style>
  <w:style w:type="character" w:styleId="Virsraksts5Rakstz" w:customStyle="1">
    <w:name w:val="Virsraksts 5 Rakstz."/>
    <w:basedOn w:val="DefaultParagraphFont"/>
    <w:qFormat/>
    <w:rsid w:val="00986086"/>
    <w:rPr>
      <w:rFonts w:ascii="Times New Roman" w:hAnsi="Times New Roman" w:eastAsia="Times New Roman"/>
      <w:b/>
      <w:bCs/>
      <w:i/>
      <w:iCs/>
      <w:sz w:val="26"/>
      <w:szCs w:val="26"/>
      <w:lang w:val="en-GB" w:eastAsia="en-US"/>
    </w:rPr>
  </w:style>
  <w:style w:type="character" w:styleId="Virsraksts6Rakstz" w:customStyle="1">
    <w:name w:val="Virsraksts 6 Rakstz."/>
    <w:basedOn w:val="DefaultParagraphFont"/>
    <w:qFormat/>
    <w:rsid w:val="00986086"/>
    <w:rPr>
      <w:rFonts w:ascii="Times New Roman" w:hAnsi="Times New Roman" w:eastAsia="Times New Roman"/>
      <w:b/>
      <w:bCs/>
      <w:sz w:val="22"/>
      <w:szCs w:val="22"/>
      <w:lang w:val="en-GB" w:eastAsia="en-US"/>
    </w:rPr>
  </w:style>
  <w:style w:type="character" w:styleId="Virsraksts7Rakstz" w:customStyle="1">
    <w:name w:val="Virsraksts 7 Rakstz."/>
    <w:basedOn w:val="DefaultParagraphFont"/>
    <w:qFormat/>
    <w:rsid w:val="00986086"/>
    <w:rPr>
      <w:rFonts w:ascii="Times New Roman" w:hAnsi="Times New Roman" w:eastAsia="Times New Roman"/>
      <w:sz w:val="24"/>
      <w:szCs w:val="24"/>
      <w:lang w:val="en-GB" w:eastAsia="en-US"/>
    </w:rPr>
  </w:style>
  <w:style w:type="character" w:styleId="Virsraksts8Rakstz" w:customStyle="1">
    <w:name w:val="Virsraksts 8 Rakstz."/>
    <w:basedOn w:val="DefaultParagraphFont"/>
    <w:qFormat/>
    <w:rsid w:val="00986086"/>
    <w:rPr>
      <w:rFonts w:ascii="Times New Roman" w:hAnsi="Times New Roman" w:eastAsia="Times New Roman"/>
      <w:i/>
      <w:iCs/>
      <w:sz w:val="24"/>
      <w:szCs w:val="24"/>
      <w:lang w:val="en-GB" w:eastAsia="en-US"/>
    </w:rPr>
  </w:style>
  <w:style w:type="character" w:styleId="Virsraksts9Rakstz" w:customStyle="1">
    <w:name w:val="Virsraksts 9 Rakstz."/>
    <w:basedOn w:val="DefaultParagraphFont"/>
    <w:qFormat/>
    <w:rsid w:val="00986086"/>
    <w:rPr>
      <w:rFonts w:ascii="Arial" w:hAnsi="Arial" w:eastAsia="Times New Roman"/>
      <w:sz w:val="22"/>
      <w:szCs w:val="22"/>
      <w:lang w:val="en-GB" w:eastAsia="en-US"/>
    </w:rPr>
  </w:style>
  <w:style w:type="character" w:styleId="Noklusjumarindkopasfonts2" w:customStyle="1">
    <w:name w:val="Noklusējuma rindkopas fonts2"/>
    <w:qFormat/>
    <w:rsid w:val="00986086"/>
    <w:rPr/>
  </w:style>
  <w:style w:type="character" w:styleId="Internetasaite">
    <w:name w:val="Hyperlink"/>
    <w:rsid w:val="00986086"/>
    <w:rPr>
      <w:color w:val="0563C1"/>
      <w:u w:val="single"/>
    </w:rPr>
  </w:style>
  <w:style w:type="character" w:styleId="HTMLiepriekformattaisRakstz" w:customStyle="1">
    <w:name w:val="HTML iepriekšformatētais Rakstz."/>
    <w:qFormat/>
    <w:rsid w:val="00986086"/>
    <w:rPr>
      <w:rFonts w:ascii="Courier New" w:hAnsi="Courier New" w:eastAsia="Times New Roman" w:cs="Courier New"/>
      <w:sz w:val="20"/>
      <w:szCs w:val="20"/>
      <w:lang w:eastAsia="lv-LV"/>
    </w:rPr>
  </w:style>
  <w:style w:type="character" w:styleId="PamattekstsRakstz" w:customStyle="1">
    <w:name w:val="Pamatteksts Rakstz."/>
    <w:uiPriority w:val="1"/>
    <w:qFormat/>
    <w:rsid w:val="00986086"/>
    <w:rPr>
      <w:rFonts w:ascii="Times New Roman" w:hAnsi="Times New Roman" w:eastAsia="Times New Roman" w:cs="Times New Roman"/>
      <w:sz w:val="24"/>
      <w:szCs w:val="24"/>
      <w:lang w:eastAsia="lv-LV"/>
    </w:rPr>
  </w:style>
  <w:style w:type="character" w:styleId="Izteiksmgs1" w:customStyle="1">
    <w:name w:val="Izteiksmīgs1"/>
    <w:qFormat/>
    <w:rsid w:val="00986086"/>
    <w:rPr>
      <w:b/>
      <w:bCs/>
    </w:rPr>
  </w:style>
  <w:style w:type="character" w:styleId="PamattekstsRakstz1" w:customStyle="1">
    <w:name w:val="Pamatteksts Rakstz.1"/>
    <w:qFormat/>
    <w:rsid w:val="00986086"/>
    <w:rPr>
      <w:rFonts w:ascii="Times New Roman" w:hAnsi="Times New Roman" w:eastAsia="Times New Roman" w:cs="Times New Roman"/>
      <w:sz w:val="24"/>
      <w:szCs w:val="24"/>
      <w:lang w:eastAsia="lv-LV"/>
    </w:rPr>
  </w:style>
  <w:style w:type="character" w:styleId="GalveneRakstz1" w:customStyle="1">
    <w:name w:val="Galvene Rakstz.1"/>
    <w:qFormat/>
    <w:rsid w:val="00986086"/>
    <w:rPr>
      <w:rFonts w:ascii="Times New Roman" w:hAnsi="Times New Roman" w:eastAsia="Times New Roman" w:cs="Times New Roman"/>
      <w:sz w:val="24"/>
      <w:szCs w:val="24"/>
      <w:lang w:eastAsia="lv-LV"/>
    </w:rPr>
  </w:style>
  <w:style w:type="character" w:styleId="HTMLiepriekformattaisRakstz1" w:customStyle="1">
    <w:name w:val="HTML iepriekšformatētais Rakstz.1"/>
    <w:qFormat/>
    <w:rsid w:val="00986086"/>
    <w:rPr>
      <w:rFonts w:ascii="Consolas" w:hAnsi="Consolas" w:eastAsia="Times New Roman" w:cs="Times New Roman"/>
      <w:sz w:val="20"/>
      <w:szCs w:val="20"/>
      <w:lang w:eastAsia="lv-LV"/>
    </w:rPr>
  </w:style>
  <w:style w:type="character" w:styleId="BalontekstsRakstz1" w:customStyle="1">
    <w:name w:val="Balonteksts Rakstz.1"/>
    <w:qFormat/>
    <w:rsid w:val="00986086"/>
    <w:rPr>
      <w:rFonts w:ascii="Segoe UI" w:hAnsi="Segoe UI" w:eastAsia="Times New Roman" w:cs="Segoe UI"/>
      <w:sz w:val="18"/>
      <w:szCs w:val="18"/>
      <w:lang w:eastAsia="lv-LV"/>
    </w:rPr>
  </w:style>
  <w:style w:type="character" w:styleId="KjeneRakstz1" w:customStyle="1">
    <w:name w:val="Kājene Rakstz.1"/>
    <w:qFormat/>
    <w:rsid w:val="00986086"/>
    <w:rPr>
      <w:rFonts w:ascii="Times New Roman" w:hAnsi="Times New Roman" w:eastAsia="Times New Roman" w:cs="Times New Roman"/>
      <w:sz w:val="24"/>
      <w:szCs w:val="24"/>
      <w:lang w:eastAsia="lv-LV"/>
    </w:rPr>
  </w:style>
  <w:style w:type="character" w:styleId="VrestekstsRakstz" w:customStyle="1">
    <w:name w:val="Vēres teksts Rakstz."/>
    <w:qFormat/>
    <w:rsid w:val="00986086"/>
    <w:rPr>
      <w:rFonts w:ascii="Times New Roman" w:hAnsi="Times New Roman" w:eastAsia="Calibri" w:cs="Times New Roman"/>
      <w:sz w:val="20"/>
      <w:szCs w:val="20"/>
    </w:rPr>
  </w:style>
  <w:style w:type="character" w:styleId="Vresatsauce1" w:customStyle="1">
    <w:name w:val="Vēres atsauce1"/>
    <w:qFormat/>
    <w:rsid w:val="00986086"/>
    <w:rPr>
      <w:vertAlign w:val="superscript"/>
    </w:rPr>
  </w:style>
  <w:style w:type="character" w:styleId="FootnoteCharacters" w:customStyle="1">
    <w:name w:val="Footnote Characters"/>
    <w:qFormat/>
    <w:rsid w:val="00986086"/>
    <w:rPr>
      <w:vertAlign w:val="superscript"/>
    </w:rPr>
  </w:style>
  <w:style w:type="character" w:styleId="Noklusjumarindkopasfonts1" w:customStyle="1">
    <w:name w:val="Noklusējuma rindkopas fonts1"/>
    <w:qFormat/>
    <w:rsid w:val="00986086"/>
    <w:rPr/>
  </w:style>
  <w:style w:type="character" w:styleId="WWCharLFO2LVL2" w:customStyle="1">
    <w:name w:val="WW_CharLFO2LVL2"/>
    <w:qFormat/>
    <w:rsid w:val="00986086"/>
    <w:rPr>
      <w:b w:val="false"/>
    </w:rPr>
  </w:style>
  <w:style w:type="character" w:styleId="WWCharLFO2LVL3" w:customStyle="1">
    <w:name w:val="WW_CharLFO2LVL3"/>
    <w:qFormat/>
    <w:rsid w:val="00986086"/>
    <w:rPr>
      <w:b w:val="false"/>
    </w:rPr>
  </w:style>
  <w:style w:type="character" w:styleId="Vresrakstzmes" w:customStyle="1">
    <w:name w:val="Vēres rakstzīmes"/>
    <w:qFormat/>
    <w:rsid w:val="00986086"/>
    <w:rPr/>
  </w:style>
  <w:style w:type="character" w:styleId="Beiguvresenkurs">
    <w:name w:val="Endnote Reference"/>
    <w:rPr>
      <w:vertAlign w:val="superscript"/>
    </w:rPr>
  </w:style>
  <w:style w:type="character" w:styleId="EndnoteCharacters" w:customStyle="1">
    <w:name w:val="Endnote Characters"/>
    <w:qFormat/>
    <w:rsid w:val="00986086"/>
    <w:rPr>
      <w:vertAlign w:val="superscript"/>
    </w:rPr>
  </w:style>
  <w:style w:type="character" w:styleId="Beiguvresrakstzme" w:customStyle="1">
    <w:name w:val="Beigu vēres rakstzīme"/>
    <w:qFormat/>
    <w:rsid w:val="00986086"/>
    <w:rPr/>
  </w:style>
  <w:style w:type="character" w:styleId="SarakstarindkopaRakstz" w:customStyle="1">
    <w:name w:val="Saraksta rindkopa Rakstz."/>
    <w:link w:val="ListParagraph"/>
    <w:uiPriority w:val="34"/>
    <w:qFormat/>
    <w:locked/>
    <w:rsid w:val="00986086"/>
    <w:rPr>
      <w:sz w:val="24"/>
      <w:szCs w:val="24"/>
      <w:lang w:val="ru-RU" w:eastAsia="ru-RU"/>
    </w:rPr>
  </w:style>
  <w:style w:type="character" w:styleId="PamattekstsRakstz2" w:customStyle="1">
    <w:name w:val="Pamatteksts Rakstz.2"/>
    <w:basedOn w:val="DefaultParagraphFont"/>
    <w:uiPriority w:val="1"/>
    <w:qFormat/>
    <w:rsid w:val="00986086"/>
    <w:rPr>
      <w:rFonts w:ascii="Times New Roman" w:hAnsi="Times New Roman" w:eastAsia="Times New Roman"/>
      <w:sz w:val="24"/>
      <w:szCs w:val="24"/>
    </w:rPr>
  </w:style>
  <w:style w:type="character" w:styleId="HTMLiepriekformattaisRakstz2" w:customStyle="1">
    <w:name w:val="HTML iepriekšformatētais Rakstz.2"/>
    <w:basedOn w:val="DefaultParagraphFont"/>
    <w:link w:val="HTMLPreformatted"/>
    <w:qFormat/>
    <w:rsid w:val="00986086"/>
    <w:rPr>
      <w:rFonts w:ascii="Courier New" w:hAnsi="Courier New" w:eastAsia="Times New Roman" w:cs="Courier New"/>
    </w:rPr>
  </w:style>
  <w:style w:type="character" w:styleId="VrestekstsRakstz1" w:customStyle="1">
    <w:name w:val="Vēres teksts Rakstz.1"/>
    <w:basedOn w:val="DefaultParagraphFont"/>
    <w:qFormat/>
    <w:rsid w:val="00986086"/>
    <w:rPr>
      <w:lang w:eastAsia="en-US"/>
    </w:rPr>
  </w:style>
  <w:style w:type="character" w:styleId="ParaststmeklisRakstz" w:customStyle="1">
    <w:name w:val="Parasts (tīmeklis) Rakstz."/>
    <w:link w:val="NormalWeb"/>
    <w:uiPriority w:val="99"/>
    <w:qFormat/>
    <w:locked/>
    <w:rsid w:val="00986086"/>
    <w:rPr>
      <w:rFonts w:ascii="Times New Roman" w:hAnsi="Times New Roman" w:eastAsia="Times New Roman"/>
      <w:sz w:val="24"/>
      <w:szCs w:val="24"/>
    </w:rPr>
  </w:style>
  <w:style w:type="character" w:styleId="Vresenkurs">
    <w:name w:val="Footnote Reference"/>
    <w:rPr>
      <w:vertAlign w:val="superscript"/>
    </w:rPr>
  </w:style>
  <w:style w:type="character" w:styleId="V1characterstyle1" w:customStyle="1">
    <w:name w:val="v1characterstyle1"/>
    <w:basedOn w:val="DefaultParagraphFont"/>
    <w:qFormat/>
    <w:rsid w:val="00e43d95"/>
    <w:rPr/>
  </w:style>
  <w:style w:type="paragraph" w:styleId="Virsraksts" w:customStyle="1">
    <w:name w:val="Virsraksts"/>
    <w:basedOn w:val="Parasts2"/>
    <w:next w:val="Pamatteksts"/>
    <w:qFormat/>
    <w:rsid w:val="00986086"/>
    <w:pPr>
      <w:keepNext w:val="true"/>
      <w:spacing w:before="240" w:after="120"/>
    </w:pPr>
    <w:rPr>
      <w:rFonts w:ascii="Carlito" w:hAnsi="Carlito" w:eastAsia="Noto Sans SC Regular" w:cs="Noto Sans Devanagari"/>
      <w:sz w:val="28"/>
      <w:szCs w:val="28"/>
    </w:rPr>
  </w:style>
  <w:style w:type="paragraph" w:styleId="Pamatteksts">
    <w:name w:val="Body Text"/>
    <w:basedOn w:val="Parasts2"/>
    <w:link w:val="PamattekstsRakstz2"/>
    <w:uiPriority w:val="1"/>
    <w:qFormat/>
    <w:rsid w:val="00986086"/>
    <w:pPr>
      <w:spacing w:before="0" w:after="120"/>
    </w:pPr>
    <w:rPr/>
  </w:style>
  <w:style w:type="paragraph" w:styleId="Saraksts">
    <w:name w:val="List"/>
    <w:basedOn w:val="Pamatteksts"/>
    <w:rsid w:val="00986086"/>
    <w:pPr/>
    <w:rPr>
      <w:rFonts w:cs="Noto Sans Devanagari"/>
    </w:rPr>
  </w:style>
  <w:style w:type="paragraph" w:styleId="Parakstsobjektam">
    <w:name w:val="Caption"/>
    <w:basedOn w:val="Normal"/>
    <w:qFormat/>
    <w:pPr>
      <w:suppressLineNumbers/>
      <w:spacing w:before="120" w:after="120"/>
    </w:pPr>
    <w:rPr>
      <w:rFonts w:ascii="Times New Roman" w:hAnsi="Times New Roman" w:cs="Arial"/>
      <w:i/>
      <w:iCs/>
      <w:sz w:val="24"/>
      <w:szCs w:val="24"/>
    </w:rPr>
  </w:style>
  <w:style w:type="paragraph" w:styleId="Rdtjs" w:customStyle="1">
    <w:name w:val="Rādītājs"/>
    <w:basedOn w:val="Parasts2"/>
    <w:qFormat/>
    <w:rsid w:val="00986086"/>
    <w:pPr>
      <w:suppressLineNumbers/>
    </w:pPr>
    <w:rPr>
      <w:rFonts w:cs="Noto Sans Devanagari"/>
    </w:rPr>
  </w:style>
  <w:style w:type="paragraph" w:styleId="Caption">
    <w:name w:val="caption"/>
    <w:basedOn w:val="Normal"/>
    <w:next w:val="Normal"/>
    <w:qFormat/>
    <w:rsid w:val="006c5375"/>
    <w:pPr>
      <w:pBdr>
        <w:bottom w:val="single" w:sz="12" w:space="1" w:color="000000"/>
      </w:pBdr>
      <w:jc w:val="center"/>
      <w:outlineLvl w:val="0"/>
    </w:pPr>
    <w:rPr>
      <w:rFonts w:ascii="Arial" w:hAnsi="Arial" w:cs="Arial"/>
      <w:b/>
      <w:sz w:val="32"/>
      <w:szCs w:val="20"/>
    </w:rPr>
  </w:style>
  <w:style w:type="paragraph" w:styleId="Nosaukums">
    <w:name w:val="Title"/>
    <w:basedOn w:val="Normal"/>
    <w:link w:val="NosaukumsRakstz"/>
    <w:uiPriority w:val="1"/>
    <w:qFormat/>
    <w:rsid w:val="001f3440"/>
    <w:pPr>
      <w:jc w:val="center"/>
    </w:pPr>
    <w:rPr>
      <w:b/>
      <w:bCs/>
      <w:lang w:val="en-GB" w:eastAsia="en-US"/>
    </w:rPr>
  </w:style>
  <w:style w:type="paragraph" w:styleId="Galveneunkjene" w:customStyle="1">
    <w:name w:val="Galvene un kājene"/>
    <w:basedOn w:val="Parasts2"/>
    <w:qFormat/>
    <w:rsid w:val="00986086"/>
    <w:pPr/>
    <w:rPr/>
  </w:style>
  <w:style w:type="paragraph" w:styleId="Galvene">
    <w:name w:val="Header"/>
    <w:basedOn w:val="Normal"/>
    <w:link w:val="GalveneRakstz"/>
    <w:unhideWhenUsed/>
    <w:rsid w:val="00c432d4"/>
    <w:pPr>
      <w:tabs>
        <w:tab w:val="clear" w:pos="720"/>
        <w:tab w:val="center" w:pos="4320" w:leader="none"/>
        <w:tab w:val="right" w:pos="8640" w:leader="none"/>
      </w:tabs>
    </w:pPr>
    <w:rPr/>
  </w:style>
  <w:style w:type="paragraph" w:styleId="Kjene">
    <w:name w:val="Footer"/>
    <w:basedOn w:val="Normal"/>
    <w:link w:val="KjeneRakstz"/>
    <w:unhideWhenUsed/>
    <w:rsid w:val="00c432d4"/>
    <w:pPr>
      <w:tabs>
        <w:tab w:val="clear" w:pos="720"/>
        <w:tab w:val="center" w:pos="4320" w:leader="none"/>
        <w:tab w:val="right" w:pos="8640" w:leader="none"/>
      </w:tabs>
    </w:pPr>
    <w:rPr/>
  </w:style>
  <w:style w:type="paragraph" w:styleId="BalloonText">
    <w:name w:val="Balloon Text"/>
    <w:basedOn w:val="Normal"/>
    <w:link w:val="BalontekstsRakstz"/>
    <w:uiPriority w:val="99"/>
    <w:unhideWhenUsed/>
    <w:qFormat/>
    <w:rsid w:val="00874ae5"/>
    <w:pPr/>
    <w:rPr>
      <w:rFonts w:ascii="Tahoma" w:hAnsi="Tahoma" w:cs="Tahoma"/>
      <w:sz w:val="16"/>
      <w:szCs w:val="16"/>
    </w:rPr>
  </w:style>
  <w:style w:type="paragraph" w:styleId="Parasts2" w:customStyle="1">
    <w:name w:val="Parasts2"/>
    <w:qFormat/>
    <w:rsid w:val="00986086"/>
    <w:pPr>
      <w:widowControl/>
      <w:suppressAutoHyphens w:val="true"/>
      <w:bidi w:val="0"/>
      <w:spacing w:before="0" w:after="0"/>
      <w:jc w:val="left"/>
      <w:textAlignment w:val="baseline"/>
    </w:pPr>
    <w:rPr>
      <w:rFonts w:ascii="Times New Roman" w:hAnsi="Times New Roman" w:eastAsia="Times New Roman" w:cs="Times New Roman"/>
      <w:color w:val="auto"/>
      <w:kern w:val="0"/>
      <w:sz w:val="24"/>
      <w:szCs w:val="24"/>
      <w:lang w:val="lv-LV" w:eastAsia="lv-LV" w:bidi="ar-SA"/>
    </w:rPr>
  </w:style>
  <w:style w:type="paragraph" w:styleId="Parakstszemobjekta1" w:customStyle="1">
    <w:name w:val="Paraksts zem objekta1"/>
    <w:basedOn w:val="Parasts2"/>
    <w:qFormat/>
    <w:rsid w:val="00986086"/>
    <w:pPr>
      <w:suppressLineNumbers/>
      <w:spacing w:before="120" w:after="120"/>
    </w:pPr>
    <w:rPr>
      <w:rFonts w:cs="Noto Sans Devanagari"/>
      <w:i/>
      <w:iCs/>
    </w:rPr>
  </w:style>
  <w:style w:type="paragraph" w:styleId="Naisnod" w:customStyle="1">
    <w:name w:val="naisnod"/>
    <w:basedOn w:val="Parasts2"/>
    <w:qFormat/>
    <w:rsid w:val="00986086"/>
    <w:pPr>
      <w:spacing w:before="150" w:after="150"/>
      <w:jc w:val="center"/>
    </w:pPr>
    <w:rPr>
      <w:b/>
      <w:bCs/>
    </w:rPr>
  </w:style>
  <w:style w:type="paragraph" w:styleId="HTMLPreformatted">
    <w:name w:val="HTML Preformatted"/>
    <w:basedOn w:val="Parasts2"/>
    <w:link w:val="HTMLiepriekformattaisRakstz2"/>
    <w:qFormat/>
    <w:rsid w:val="00986086"/>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rPr>
  </w:style>
  <w:style w:type="paragraph" w:styleId="ListParagraph">
    <w:name w:val="List Paragraph"/>
    <w:basedOn w:val="Parasts2"/>
    <w:link w:val="SarakstarindkopaRakstz"/>
    <w:qFormat/>
    <w:rsid w:val="00986086"/>
    <w:pPr>
      <w:ind w:left="720" w:hanging="0"/>
    </w:pPr>
    <w:rPr>
      <w:rFonts w:ascii="Calibri" w:hAnsi="Calibri" w:eastAsia="Calibri"/>
      <w:lang w:val="ru-RU" w:eastAsia="ru-RU"/>
    </w:rPr>
  </w:style>
  <w:style w:type="paragraph" w:styleId="Parastais" w:customStyle="1">
    <w:name w:val="Parastais"/>
    <w:qFormat/>
    <w:rsid w:val="00986086"/>
    <w:pPr>
      <w:widowControl w:val="false"/>
      <w:suppressAutoHyphens w:val="true"/>
      <w:bidi w:val="0"/>
      <w:spacing w:before="0" w:after="0"/>
      <w:jc w:val="left"/>
      <w:textAlignment w:val="baseline"/>
    </w:pPr>
    <w:rPr>
      <w:rFonts w:ascii="Times New Roman" w:hAnsi="Times New Roman" w:eastAsia="Arial Unicode MS" w:cs="Times New Roman"/>
      <w:color w:val="auto"/>
      <w:kern w:val="2"/>
      <w:sz w:val="24"/>
      <w:szCs w:val="24"/>
      <w:lang w:eastAsia="ar-SA" w:val="lv-LV" w:bidi="ar-SA"/>
    </w:rPr>
  </w:style>
  <w:style w:type="paragraph" w:styleId="Parasts1" w:customStyle="1">
    <w:name w:val="Parasts1"/>
    <w:qFormat/>
    <w:rsid w:val="00986086"/>
    <w:pPr>
      <w:widowControl/>
      <w:suppressAutoHyphens w:val="true"/>
      <w:bidi w:val="0"/>
      <w:spacing w:before="0" w:after="0"/>
      <w:jc w:val="left"/>
      <w:textAlignment w:val="baseline"/>
    </w:pPr>
    <w:rPr>
      <w:rFonts w:ascii="Times New Roman" w:hAnsi="Times New Roman" w:eastAsia="Times New Roman" w:cs="Arial"/>
      <w:b/>
      <w:bCs/>
      <w:color w:val="auto"/>
      <w:kern w:val="2"/>
      <w:sz w:val="24"/>
      <w:szCs w:val="32"/>
      <w:lang w:val="en-GB" w:eastAsia="ar-SA" w:bidi="ar-SA"/>
    </w:rPr>
  </w:style>
  <w:style w:type="paragraph" w:styleId="Saturardtjs" w:customStyle="1">
    <w:name w:val="Satura rādītājs"/>
    <w:basedOn w:val="Parasts2"/>
    <w:qFormat/>
    <w:rsid w:val="00986086"/>
    <w:pPr>
      <w:widowControl w:val="false"/>
      <w:suppressLineNumbers/>
    </w:pPr>
    <w:rPr/>
  </w:style>
  <w:style w:type="paragraph" w:styleId="Tabulasvirsraksts" w:customStyle="1">
    <w:name w:val="Tabulas virsraksts"/>
    <w:basedOn w:val="Saturardtjs"/>
    <w:qFormat/>
    <w:rsid w:val="00986086"/>
    <w:pPr>
      <w:jc w:val="center"/>
    </w:pPr>
    <w:rPr>
      <w:b/>
      <w:bCs/>
    </w:rPr>
  </w:style>
  <w:style w:type="paragraph" w:styleId="Parastatabula1" w:customStyle="1">
    <w:name w:val="Parasta tabula1"/>
    <w:qFormat/>
    <w:rsid w:val="00986086"/>
    <w:pPr>
      <w:widowControl/>
      <w:suppressAutoHyphens w:val="true"/>
      <w:bidi w:val="0"/>
      <w:spacing w:before="0" w:after="0"/>
      <w:jc w:val="left"/>
      <w:textAlignment w:val="baseline"/>
    </w:pPr>
    <w:rPr>
      <w:rFonts w:eastAsia="Times New Roman" w:ascii="Calibri" w:hAnsi="Calibri" w:cs="Times New Roman"/>
      <w:color w:val="auto"/>
      <w:kern w:val="0"/>
      <w:sz w:val="22"/>
      <w:szCs w:val="22"/>
      <w:lang w:eastAsia="en-US" w:val="lv-LV" w:bidi="ar-SA"/>
    </w:rPr>
  </w:style>
  <w:style w:type="paragraph" w:styleId="NormalWeb">
    <w:name w:val="Normal (Web)"/>
    <w:basedOn w:val="Parasts2"/>
    <w:link w:val="ParaststmeklisRakstz"/>
    <w:uiPriority w:val="99"/>
    <w:qFormat/>
    <w:rsid w:val="00986086"/>
    <w:pPr>
      <w:suppressAutoHyphens w:val="false"/>
      <w:spacing w:before="100" w:after="119"/>
      <w:textAlignment w:val="auto"/>
    </w:pPr>
    <w:rPr/>
  </w:style>
  <w:style w:type="paragraph" w:styleId="Naisf" w:customStyle="1">
    <w:name w:val="naisf"/>
    <w:basedOn w:val="Parasts2"/>
    <w:qFormat/>
    <w:rsid w:val="00986086"/>
    <w:pPr>
      <w:suppressAutoHyphens w:val="false"/>
      <w:spacing w:before="62" w:after="62"/>
      <w:ind w:firstLine="310"/>
      <w:jc w:val="both"/>
      <w:textAlignment w:val="auto"/>
    </w:pPr>
    <w:rPr>
      <w:rFonts w:eastAsia="Arial Unicode MS"/>
      <w:lang w:val="en-GB" w:eastAsia="en-US"/>
    </w:rPr>
  </w:style>
  <w:style w:type="paragraph" w:styleId="Vresteksts1" w:customStyle="1">
    <w:name w:val="Vēres teksts1"/>
    <w:basedOn w:val="Parasts2"/>
    <w:qFormat/>
    <w:rsid w:val="00986086"/>
    <w:pPr>
      <w:suppressAutoHyphens w:val="false"/>
      <w:textAlignment w:val="auto"/>
    </w:pPr>
    <w:rPr>
      <w:rFonts w:eastAsia="Calibri"/>
      <w:sz w:val="20"/>
      <w:szCs w:val="20"/>
      <w:lang w:eastAsia="en-US"/>
    </w:rPr>
  </w:style>
  <w:style w:type="paragraph" w:styleId="Vre">
    <w:name w:val="Footnote Text"/>
    <w:basedOn w:val="Normal"/>
    <w:link w:val="VrestekstsRakstz1"/>
    <w:rsid w:val="00986086"/>
    <w:pPr>
      <w:suppressLineNumbers/>
      <w:spacing w:lineRule="auto" w:line="252" w:before="0" w:after="160"/>
      <w:ind w:left="339" w:hanging="339"/>
      <w:textAlignment w:val="baseline"/>
    </w:pPr>
    <w:rPr>
      <w:rFonts w:ascii="Calibri" w:hAnsi="Calibri" w:eastAsia="Calibri"/>
      <w:sz w:val="20"/>
      <w:szCs w:val="20"/>
      <w:lang w:eastAsia="en-US"/>
    </w:rPr>
  </w:style>
  <w:style w:type="paragraph" w:styleId="TableParagraph" w:customStyle="1">
    <w:name w:val="Table Paragraph"/>
    <w:basedOn w:val="Normal"/>
    <w:uiPriority w:val="1"/>
    <w:qFormat/>
    <w:rsid w:val="00986086"/>
    <w:pPr>
      <w:widowControl w:val="false"/>
      <w:spacing w:lineRule="exact" w:line="141"/>
      <w:ind w:left="56" w:hanging="0"/>
    </w:pPr>
    <w:rPr>
      <w:sz w:val="22"/>
      <w:szCs w:val="22"/>
      <w:lang w:eastAsia="en-US"/>
    </w:rPr>
  </w:style>
  <w:style w:type="paragraph" w:styleId="Ietvarasaturs" w:customStyle="1">
    <w:name w:val="Ietvara saturs"/>
    <w:basedOn w:val="Normal"/>
    <w:qFormat/>
    <w:pPr/>
    <w:rPr/>
  </w:style>
  <w:style w:type="numbering" w:styleId="NoList" w:default="1">
    <w:name w:val="No List"/>
    <w:uiPriority w:val="99"/>
    <w:semiHidden/>
    <w:unhideWhenUsed/>
    <w:qFormat/>
  </w:style>
  <w:style w:type="table" w:default="1" w:styleId="Parastatabula">
    <w:name w:val="Normal Table"/>
    <w:uiPriority w:val="99"/>
    <w:semiHidden/>
    <w:unhideWhenUsed/>
    <w:tblPr>
      <w:tblCellMar>
        <w:top w:w="0" w:type="dxa"/>
        <w:left w:w="108" w:type="dxa"/>
        <w:bottom w:w="0" w:type="dxa"/>
        <w:right w:w="108" w:type="dxa"/>
      </w:tblCellMar>
    </w:tblPr>
  </w:style>
  <w:style w:type="table" w:styleId="Reatabula">
    <w:name w:val="Table Grid"/>
    <w:basedOn w:val="Parastatabula"/>
    <w:uiPriority w:val="59"/>
    <w:rsid w:val="0098608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Reatabula12">
    <w:name w:val="Režģa tabula12"/>
    <w:basedOn w:val="Parastatabula"/>
    <w:uiPriority w:val="59"/>
    <w:rsid w:val="00986086"/>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TableNormal">
    <w:name w:val="Table Normal"/>
    <w:uiPriority w:val="2"/>
    <w:semiHidden/>
    <w:unhideWhenUsed/>
    <w:qFormat/>
    <w:rsid w:val="00986086"/>
    <w:rPr>
      <w:rFonts w:asciiTheme="minorHAnsi" w:hAnsiTheme="minorHAnsi" w:eastAsiaTheme="minorHAnsi" w:cstheme="minorBidi"/>
      <w:lang w:val="en-US" w:eastAsia="en-US"/>
      <w:sz w:val="22"/>
      <w:szCs w:val="22"/>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Application>LibreOffice/7.4.1.2$Windows_X86_64 LibreOffice_project/3c58a8f3a960df8bc8fd77b461821e42c061c5f0</Application>
  <AppVersion>15.0000</AppVersion>
  <Pages>7</Pages>
  <Words>1780</Words>
  <Characters>12464</Characters>
  <CharactersWithSpaces>14250</CharactersWithSpaces>
  <Paragraphs>161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2023-06-28T10:39:00Z</dcterms:created>
  <dc:creator>Antra Kamala</dc:creator>
  <dc:description/>
  <dc:language>lv-LV</dc:language>
  <cp:lastModifiedBy/>
  <cp:lastPrinted>2023-02-27T13:35:00Z</cp:lastPrinted>
  <dcterms:modified xsi:type="dcterms:W3CDTF">2023-07-19T09:03:12Z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