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9E737" w14:textId="77777777" w:rsidR="00A62344" w:rsidRPr="00A36A28" w:rsidRDefault="00A62344" w:rsidP="00A62344">
      <w:pPr>
        <w:spacing w:after="0" w:line="240" w:lineRule="auto"/>
        <w:jc w:val="center"/>
        <w:rPr>
          <w:b/>
          <w:bCs/>
          <w:caps/>
          <w:sz w:val="28"/>
          <w:szCs w:val="28"/>
        </w:rPr>
      </w:pPr>
      <w:r w:rsidRPr="004E7DE5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5380446B" wp14:editId="7ACD9283">
            <wp:simplePos x="0" y="0"/>
            <wp:positionH relativeFrom="column">
              <wp:posOffset>2634615</wp:posOffset>
            </wp:positionH>
            <wp:positionV relativeFrom="paragraph">
              <wp:posOffset>0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6A28">
        <w:rPr>
          <w:b/>
          <w:bCs/>
          <w:caps/>
          <w:noProof/>
          <w:sz w:val="28"/>
          <w:szCs w:val="28"/>
        </w:rPr>
        <w:t>Limbažu novada DOME</w:t>
      </w:r>
    </w:p>
    <w:p w14:paraId="3A980BF6" w14:textId="77777777" w:rsidR="00A62344" w:rsidRPr="00A36A28" w:rsidRDefault="00A62344" w:rsidP="00A62344">
      <w:pPr>
        <w:spacing w:after="0" w:line="240" w:lineRule="auto"/>
        <w:jc w:val="center"/>
        <w:rPr>
          <w:sz w:val="18"/>
          <w:szCs w:val="20"/>
        </w:rPr>
      </w:pPr>
      <w:proofErr w:type="spellStart"/>
      <w:r w:rsidRPr="00A36A28">
        <w:rPr>
          <w:sz w:val="18"/>
          <w:szCs w:val="20"/>
        </w:rPr>
        <w:t>Reģ</w:t>
      </w:r>
      <w:proofErr w:type="spellEnd"/>
      <w:r w:rsidRPr="00A36A28">
        <w:rPr>
          <w:sz w:val="18"/>
          <w:szCs w:val="20"/>
        </w:rPr>
        <w:t xml:space="preserve">. Nr. </w:t>
      </w:r>
      <w:r w:rsidRPr="00A36A28">
        <w:rPr>
          <w:noProof/>
          <w:sz w:val="18"/>
          <w:szCs w:val="20"/>
        </w:rPr>
        <w:t>90009114631</w:t>
      </w:r>
      <w:r w:rsidRPr="00A36A28">
        <w:rPr>
          <w:sz w:val="18"/>
          <w:szCs w:val="20"/>
        </w:rPr>
        <w:t xml:space="preserve">; </w:t>
      </w:r>
      <w:r w:rsidRPr="00A36A28">
        <w:rPr>
          <w:noProof/>
          <w:sz w:val="18"/>
          <w:szCs w:val="20"/>
        </w:rPr>
        <w:t>Rīgas iela 16, Limbaži, Limbažu novads LV-4001</w:t>
      </w:r>
      <w:r w:rsidRPr="00A36A28">
        <w:rPr>
          <w:sz w:val="18"/>
          <w:szCs w:val="20"/>
        </w:rPr>
        <w:t xml:space="preserve">; </w:t>
      </w:r>
    </w:p>
    <w:p w14:paraId="760FB42E" w14:textId="77777777" w:rsidR="00A62344" w:rsidRPr="00A36A28" w:rsidRDefault="00A62344" w:rsidP="00A62344">
      <w:pPr>
        <w:spacing w:after="0" w:line="240" w:lineRule="auto"/>
        <w:jc w:val="center"/>
        <w:rPr>
          <w:sz w:val="18"/>
          <w:szCs w:val="20"/>
        </w:rPr>
      </w:pPr>
      <w:r w:rsidRPr="00A36A28">
        <w:rPr>
          <w:sz w:val="18"/>
          <w:szCs w:val="20"/>
        </w:rPr>
        <w:t>E-pasts</w:t>
      </w:r>
      <w:r w:rsidRPr="00A36A28">
        <w:rPr>
          <w:iCs/>
          <w:sz w:val="18"/>
          <w:szCs w:val="20"/>
        </w:rPr>
        <w:t xml:space="preserve"> </w:t>
      </w:r>
      <w:r w:rsidRPr="00A36A28">
        <w:rPr>
          <w:iCs/>
          <w:noProof/>
          <w:sz w:val="18"/>
          <w:szCs w:val="20"/>
        </w:rPr>
        <w:t>pasts@limbazunovads.lv</w:t>
      </w:r>
      <w:r w:rsidRPr="00A36A28">
        <w:rPr>
          <w:iCs/>
          <w:sz w:val="18"/>
          <w:szCs w:val="20"/>
        </w:rPr>
        <w:t>;</w:t>
      </w:r>
      <w:r w:rsidRPr="00A36A28">
        <w:rPr>
          <w:sz w:val="18"/>
          <w:szCs w:val="20"/>
        </w:rPr>
        <w:t xml:space="preserve"> tālrunis </w:t>
      </w:r>
      <w:r w:rsidRPr="00A36A28">
        <w:rPr>
          <w:noProof/>
          <w:sz w:val="18"/>
          <w:szCs w:val="20"/>
        </w:rPr>
        <w:t>64023003</w:t>
      </w:r>
    </w:p>
    <w:p w14:paraId="014E7828" w14:textId="77777777" w:rsidR="003C2123" w:rsidRPr="00FE709C" w:rsidRDefault="003C2123" w:rsidP="003C2123">
      <w:pPr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14:paraId="25371FCD" w14:textId="77777777" w:rsidR="00895EFD" w:rsidRDefault="003C2123" w:rsidP="00896AAA">
      <w:pPr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  <w:r w:rsidRPr="003C2123">
        <w:rPr>
          <w:b/>
          <w:caps/>
          <w:sz w:val="24"/>
          <w:szCs w:val="24"/>
        </w:rPr>
        <w:t>Paskaidrojuma raksts</w:t>
      </w:r>
    </w:p>
    <w:p w14:paraId="1EFA9CAF" w14:textId="6DEC97FF" w:rsidR="00895EFD" w:rsidRDefault="00932B1E" w:rsidP="00DC3D7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95EFD">
        <w:rPr>
          <w:b/>
          <w:bCs/>
          <w:sz w:val="24"/>
          <w:szCs w:val="24"/>
        </w:rPr>
        <w:t>Limbažu novada pašvaldības domes</w:t>
      </w:r>
      <w:r>
        <w:rPr>
          <w:b/>
          <w:bCs/>
          <w:sz w:val="24"/>
          <w:szCs w:val="24"/>
        </w:rPr>
        <w:t xml:space="preserve"> 2023. gada </w:t>
      </w:r>
      <w:r w:rsidR="00FC2DB4">
        <w:rPr>
          <w:b/>
          <w:bCs/>
          <w:sz w:val="24"/>
          <w:szCs w:val="24"/>
        </w:rPr>
        <w:t xml:space="preserve">26. oktobra </w:t>
      </w:r>
      <w:r>
        <w:rPr>
          <w:b/>
          <w:bCs/>
          <w:sz w:val="24"/>
          <w:szCs w:val="24"/>
        </w:rPr>
        <w:t>saistošajiem noteikumiem Nr.</w:t>
      </w:r>
      <w:r w:rsidR="00FC2DB4">
        <w:rPr>
          <w:b/>
          <w:bCs/>
          <w:sz w:val="24"/>
          <w:szCs w:val="24"/>
        </w:rPr>
        <w:t>24</w:t>
      </w:r>
      <w:r>
        <w:rPr>
          <w:b/>
          <w:bCs/>
          <w:sz w:val="24"/>
          <w:szCs w:val="24"/>
        </w:rPr>
        <w:t xml:space="preserve"> “</w:t>
      </w:r>
      <w:r w:rsidR="005E5735">
        <w:rPr>
          <w:b/>
          <w:bCs/>
          <w:sz w:val="24"/>
          <w:szCs w:val="24"/>
        </w:rPr>
        <w:t xml:space="preserve">Grozījumi </w:t>
      </w:r>
      <w:r w:rsidR="00895EFD" w:rsidRPr="00895EFD">
        <w:rPr>
          <w:b/>
          <w:bCs/>
          <w:sz w:val="24"/>
          <w:szCs w:val="24"/>
        </w:rPr>
        <w:t xml:space="preserve">Limbažu novada pašvaldības domes </w:t>
      </w:r>
      <w:r w:rsidR="00825E8B">
        <w:rPr>
          <w:b/>
          <w:bCs/>
          <w:sz w:val="24"/>
          <w:szCs w:val="24"/>
        </w:rPr>
        <w:t>2023.</w:t>
      </w:r>
      <w:r w:rsidR="00E13412">
        <w:rPr>
          <w:b/>
          <w:bCs/>
          <w:sz w:val="24"/>
          <w:szCs w:val="24"/>
        </w:rPr>
        <w:t xml:space="preserve"> </w:t>
      </w:r>
      <w:r w:rsidR="00825E8B">
        <w:rPr>
          <w:b/>
          <w:bCs/>
          <w:sz w:val="24"/>
          <w:szCs w:val="24"/>
        </w:rPr>
        <w:t xml:space="preserve">gada </w:t>
      </w:r>
      <w:r w:rsidR="00E13412">
        <w:rPr>
          <w:b/>
          <w:bCs/>
          <w:sz w:val="24"/>
          <w:szCs w:val="24"/>
        </w:rPr>
        <w:t>22</w:t>
      </w:r>
      <w:r w:rsidR="00825E8B">
        <w:rPr>
          <w:b/>
          <w:bCs/>
          <w:sz w:val="24"/>
          <w:szCs w:val="24"/>
        </w:rPr>
        <w:t xml:space="preserve">. </w:t>
      </w:r>
      <w:r w:rsidR="00E13412">
        <w:rPr>
          <w:b/>
          <w:bCs/>
          <w:sz w:val="24"/>
          <w:szCs w:val="24"/>
        </w:rPr>
        <w:t>j</w:t>
      </w:r>
      <w:r w:rsidR="00825E8B">
        <w:rPr>
          <w:b/>
          <w:bCs/>
          <w:sz w:val="24"/>
          <w:szCs w:val="24"/>
        </w:rPr>
        <w:t xml:space="preserve">ūnija </w:t>
      </w:r>
      <w:r w:rsidR="00895EFD" w:rsidRPr="00895EFD">
        <w:rPr>
          <w:b/>
          <w:bCs/>
          <w:sz w:val="24"/>
          <w:szCs w:val="24"/>
        </w:rPr>
        <w:t>saistoša</w:t>
      </w:r>
      <w:r w:rsidR="0027511C">
        <w:rPr>
          <w:b/>
          <w:bCs/>
          <w:sz w:val="24"/>
          <w:szCs w:val="24"/>
        </w:rPr>
        <w:t>jos</w:t>
      </w:r>
      <w:r w:rsidR="00895EFD" w:rsidRPr="00895EFD">
        <w:rPr>
          <w:b/>
          <w:bCs/>
          <w:sz w:val="24"/>
          <w:szCs w:val="24"/>
        </w:rPr>
        <w:t xml:space="preserve"> noteikum</w:t>
      </w:r>
      <w:r w:rsidR="0027511C">
        <w:rPr>
          <w:b/>
          <w:bCs/>
          <w:sz w:val="24"/>
          <w:szCs w:val="24"/>
        </w:rPr>
        <w:t>os</w:t>
      </w:r>
      <w:r w:rsidR="00895EFD" w:rsidRPr="00895EFD">
        <w:rPr>
          <w:b/>
          <w:bCs/>
          <w:sz w:val="24"/>
          <w:szCs w:val="24"/>
        </w:rPr>
        <w:t xml:space="preserve"> Nr.</w:t>
      </w:r>
      <w:r w:rsidR="00E13412">
        <w:rPr>
          <w:b/>
          <w:bCs/>
          <w:sz w:val="24"/>
          <w:szCs w:val="24"/>
        </w:rPr>
        <w:t>9</w:t>
      </w:r>
      <w:r w:rsidR="00773861">
        <w:rPr>
          <w:b/>
          <w:bCs/>
          <w:sz w:val="24"/>
          <w:szCs w:val="24"/>
        </w:rPr>
        <w:t xml:space="preserve"> </w:t>
      </w:r>
      <w:r w:rsidR="00DC3D74" w:rsidRPr="00DC3D74">
        <w:rPr>
          <w:b/>
          <w:bCs/>
          <w:sz w:val="24"/>
          <w:szCs w:val="24"/>
        </w:rPr>
        <w:t>“</w:t>
      </w:r>
      <w:r w:rsidR="00054D8D" w:rsidRPr="00054D8D">
        <w:rPr>
          <w:b/>
          <w:bCs/>
          <w:sz w:val="24"/>
          <w:szCs w:val="24"/>
        </w:rPr>
        <w:t>Par brīvprātīgās iniciatīvas sociālajiem pabalstiem Limbažu novada pašvaldībā</w:t>
      </w:r>
      <w:r w:rsidR="00DC3D74" w:rsidRPr="00DC3D74">
        <w:rPr>
          <w:b/>
          <w:bCs/>
          <w:sz w:val="24"/>
          <w:szCs w:val="24"/>
        </w:rPr>
        <w:t>”</w:t>
      </w:r>
      <w:r>
        <w:rPr>
          <w:b/>
          <w:bCs/>
          <w:sz w:val="24"/>
          <w:szCs w:val="24"/>
        </w:rPr>
        <w:t>”</w:t>
      </w:r>
    </w:p>
    <w:p w14:paraId="4449E285" w14:textId="77777777" w:rsidR="003C2123" w:rsidRPr="003C2123" w:rsidRDefault="003C2123" w:rsidP="00896AA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66"/>
        <w:gridCol w:w="7594"/>
      </w:tblGrid>
      <w:tr w:rsidR="003C2123" w:rsidRPr="001B1D4C" w14:paraId="71396195" w14:textId="77777777" w:rsidTr="004D6E0A">
        <w:trPr>
          <w:trHeight w:val="471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EEF7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B1D4C">
              <w:rPr>
                <w:b/>
                <w:bCs/>
                <w:sz w:val="24"/>
                <w:szCs w:val="24"/>
              </w:rPr>
              <w:t>Paskaidrojuma raksta sadaļas</w:t>
            </w: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37417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B1D4C">
              <w:rPr>
                <w:b/>
                <w:bCs/>
                <w:sz w:val="24"/>
                <w:szCs w:val="24"/>
              </w:rPr>
              <w:t>Norādāmā informācija</w:t>
            </w:r>
          </w:p>
        </w:tc>
      </w:tr>
      <w:tr w:rsidR="003C2123" w:rsidRPr="001B1D4C" w14:paraId="5D5F6274" w14:textId="77777777" w:rsidTr="004D6E0A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790E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1B1D4C">
              <w:rPr>
                <w:sz w:val="24"/>
                <w:szCs w:val="24"/>
              </w:rPr>
              <w:t>1. Projekta nepieciešamības pamatojums</w:t>
            </w:r>
          </w:p>
          <w:p w14:paraId="536DE587" w14:textId="77777777" w:rsidR="003C2123" w:rsidRPr="001B1D4C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6532" w14:textId="750F0C9B" w:rsidR="00C52504" w:rsidRDefault="00C52504" w:rsidP="00AA6DB7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Pašvaldību likuma 44. panta pirmā daļa </w:t>
            </w:r>
            <w:r w:rsidR="00B259A4" w:rsidRPr="001B1D4C">
              <w:rPr>
                <w:sz w:val="24"/>
                <w:szCs w:val="24"/>
              </w:rPr>
              <w:t>nosaka, ka</w:t>
            </w:r>
            <w:r>
              <w:rPr>
                <w:sz w:val="24"/>
                <w:szCs w:val="24"/>
              </w:rPr>
              <w:t xml:space="preserve"> </w:t>
            </w:r>
            <w:r w:rsidRPr="00C52504">
              <w:rPr>
                <w:i/>
                <w:iCs/>
                <w:sz w:val="24"/>
                <w:szCs w:val="24"/>
              </w:rPr>
              <w:t>Dome atbilstoši likumā vai Ministru kabineta noteikumos ietvertam pilnvarojumam izdod saistošos noteikumus</w:t>
            </w:r>
            <w:r>
              <w:rPr>
                <w:sz w:val="24"/>
                <w:szCs w:val="24"/>
              </w:rPr>
              <w:t xml:space="preserve">, savukārt otrā daļa nosaka, ka </w:t>
            </w:r>
            <w:r w:rsidRPr="00C52504">
              <w:rPr>
                <w:i/>
                <w:iCs/>
                <w:sz w:val="24"/>
                <w:szCs w:val="24"/>
              </w:rPr>
              <w:t>Dome var izdot saistošos noteikumus, lai nodrošinātu pašvaldības autonomo funkciju un brīvprātīgo iniciatīvu izpildi, ievērojot likumos vai Ministru kabineta noteikumos paredzēto funkciju izpildes kārtību.</w:t>
            </w:r>
          </w:p>
          <w:p w14:paraId="39555B74" w14:textId="13BADDAF" w:rsidR="0027511C" w:rsidRDefault="0027511C" w:rsidP="0027511C">
            <w:pPr>
              <w:spacing w:after="0" w:line="240" w:lineRule="auto"/>
              <w:rPr>
                <w:sz w:val="24"/>
                <w:szCs w:val="24"/>
              </w:rPr>
            </w:pPr>
            <w:r w:rsidRPr="00F31ECA">
              <w:rPr>
                <w:sz w:val="24"/>
                <w:szCs w:val="24"/>
              </w:rPr>
              <w:t>Sociālo pakalpojumu un sociālās palīdzības likuma</w:t>
            </w:r>
            <w:r>
              <w:rPr>
                <w:sz w:val="24"/>
                <w:szCs w:val="24"/>
              </w:rPr>
              <w:t xml:space="preserve"> 3.panta otrā daļa nosaka, </w:t>
            </w:r>
            <w:r w:rsidRPr="00286853">
              <w:rPr>
                <w:i/>
                <w:iCs/>
                <w:sz w:val="24"/>
                <w:szCs w:val="24"/>
              </w:rPr>
              <w:t>ka kārtību, kādā saņemami pašvaldību sniegtie sociālie pakalpojumi, nosaka pašvaldību saistošajos noteikumos</w:t>
            </w:r>
            <w:r>
              <w:rPr>
                <w:sz w:val="24"/>
                <w:szCs w:val="24"/>
              </w:rPr>
              <w:t>.</w:t>
            </w:r>
          </w:p>
          <w:p w14:paraId="1D39DA76" w14:textId="2B99761F" w:rsidR="005E5735" w:rsidRDefault="00EF71BD" w:rsidP="00AA6DB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Pārskatīt</w:t>
            </w:r>
            <w:r w:rsidR="006D7293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="00286853" w:rsidRPr="00EF71BD">
              <w:rPr>
                <w:sz w:val="24"/>
                <w:szCs w:val="24"/>
              </w:rPr>
              <w:t>Limbažu novada pašvaldības 202</w:t>
            </w:r>
            <w:r w:rsidR="005E5735">
              <w:rPr>
                <w:sz w:val="24"/>
                <w:szCs w:val="24"/>
              </w:rPr>
              <w:t>3</w:t>
            </w:r>
            <w:r w:rsidR="00286853" w:rsidRPr="00EF71BD">
              <w:rPr>
                <w:sz w:val="24"/>
                <w:szCs w:val="24"/>
              </w:rPr>
              <w:t>. gada 2</w:t>
            </w:r>
            <w:r w:rsidR="005E5735">
              <w:rPr>
                <w:sz w:val="24"/>
                <w:szCs w:val="24"/>
              </w:rPr>
              <w:t>2</w:t>
            </w:r>
            <w:r w:rsidR="00286853" w:rsidRPr="00EF71BD">
              <w:rPr>
                <w:sz w:val="24"/>
                <w:szCs w:val="24"/>
              </w:rPr>
              <w:t xml:space="preserve">. </w:t>
            </w:r>
            <w:r w:rsidR="005E5735">
              <w:rPr>
                <w:sz w:val="24"/>
                <w:szCs w:val="24"/>
              </w:rPr>
              <w:t>jūnij</w:t>
            </w:r>
            <w:r w:rsidR="00286853" w:rsidRPr="00EF71BD">
              <w:rPr>
                <w:sz w:val="24"/>
                <w:szCs w:val="24"/>
              </w:rPr>
              <w:t xml:space="preserve">a saistošie noteikumi Nr. </w:t>
            </w:r>
            <w:r w:rsidR="005E5735">
              <w:rPr>
                <w:sz w:val="24"/>
                <w:szCs w:val="24"/>
              </w:rPr>
              <w:t>9</w:t>
            </w:r>
            <w:r w:rsidR="00286853">
              <w:rPr>
                <w:sz w:val="24"/>
                <w:szCs w:val="24"/>
              </w:rPr>
              <w:t xml:space="preserve"> </w:t>
            </w:r>
            <w:r w:rsidR="00286853" w:rsidRPr="00EF71BD">
              <w:rPr>
                <w:sz w:val="24"/>
                <w:szCs w:val="24"/>
              </w:rPr>
              <w:t>“Par brīvprātīgās iniciatīvas sociālajiem pabalstiem Limbažu novada pašvaldībā”</w:t>
            </w:r>
            <w:r w:rsidR="005E5735">
              <w:rPr>
                <w:sz w:val="24"/>
                <w:szCs w:val="24"/>
              </w:rPr>
              <w:t xml:space="preserve">, lai vienkāršotu pabalstu saņemšanas kārtību </w:t>
            </w:r>
          </w:p>
          <w:p w14:paraId="3A0B44E9" w14:textId="2890167D" w:rsidR="003C2123" w:rsidRPr="001B1D4C" w:rsidRDefault="005E5735" w:rsidP="00FC2DB4">
            <w:pPr>
              <w:spacing w:after="0" w:line="240" w:lineRule="auto"/>
              <w:rPr>
                <w:sz w:val="24"/>
                <w:szCs w:val="24"/>
              </w:rPr>
            </w:pPr>
            <w:r w:rsidRPr="005E5735">
              <w:rPr>
                <w:sz w:val="24"/>
                <w:szCs w:val="24"/>
              </w:rPr>
              <w:t xml:space="preserve">pašvaldības noteikto pabalstu izmaksai politiski represētajām personām un Černobiļas atomelektrostacijas (AES) avārijas seku likvidēšanas </w:t>
            </w:r>
            <w:r w:rsidRPr="0027511C">
              <w:rPr>
                <w:sz w:val="24"/>
                <w:szCs w:val="24"/>
              </w:rPr>
              <w:t>dalībniekiem</w:t>
            </w:r>
            <w:r w:rsidR="0027511C" w:rsidRPr="0027511C">
              <w:rPr>
                <w:sz w:val="24"/>
                <w:szCs w:val="24"/>
              </w:rPr>
              <w:t>, kā arī precizēt pabalstu izmaksas kārtība nozīmīgās dzīves jubilejās.</w:t>
            </w:r>
          </w:p>
        </w:tc>
      </w:tr>
      <w:tr w:rsidR="004D6E0A" w:rsidRPr="001B1D4C" w14:paraId="3DD18AA6" w14:textId="77777777" w:rsidTr="004D6E0A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9670" w14:textId="0FFAF6D5" w:rsidR="004D6E0A" w:rsidRPr="001B1D4C" w:rsidRDefault="004D6E0A" w:rsidP="00AA6DB7">
            <w:pPr>
              <w:shd w:val="clear" w:color="auto" w:fill="FFFFFF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Fiskālā ietekme uz pašvaldības budžetu</w:t>
            </w: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344F" w14:textId="5F01A781" w:rsidR="00803B92" w:rsidRPr="00633C84" w:rsidRDefault="0027511C" w:rsidP="00F508F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964CC7">
              <w:rPr>
                <w:sz w:val="24"/>
                <w:szCs w:val="24"/>
              </w:rPr>
              <w:t xml:space="preserve">Saistošo noteikumu īstenošanas fiskālā ietekme uz pašvaldības budžetu – netiek prognozēta finansiāla ietekme uz pašvaldības budžetu, jo pašvaldība apmaksās administratīvos izdevumus, kas tai radušies saistībā ar </w:t>
            </w:r>
            <w:r>
              <w:rPr>
                <w:sz w:val="24"/>
                <w:szCs w:val="24"/>
              </w:rPr>
              <w:t>pabalstu</w:t>
            </w:r>
            <w:r w:rsidRPr="00964CC7">
              <w:rPr>
                <w:sz w:val="24"/>
                <w:szCs w:val="24"/>
              </w:rPr>
              <w:t xml:space="preserve"> iesniegumu izskatīšanu</w:t>
            </w:r>
            <w:r>
              <w:rPr>
                <w:sz w:val="24"/>
                <w:szCs w:val="24"/>
              </w:rPr>
              <w:t>, informācijas pieprasīšanu</w:t>
            </w:r>
            <w:r w:rsidRPr="00964CC7">
              <w:rPr>
                <w:sz w:val="24"/>
                <w:szCs w:val="24"/>
              </w:rPr>
              <w:t xml:space="preserve"> un lēmumu pieņemšanu</w:t>
            </w:r>
            <w:r>
              <w:rPr>
                <w:sz w:val="24"/>
                <w:szCs w:val="24"/>
              </w:rPr>
              <w:t>.</w:t>
            </w:r>
          </w:p>
        </w:tc>
      </w:tr>
      <w:tr w:rsidR="004D6E0A" w:rsidRPr="001B1D4C" w14:paraId="442611BA" w14:textId="77777777" w:rsidTr="004D6E0A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8329" w14:textId="2F8D5573" w:rsidR="004D6E0A" w:rsidRDefault="004D6E0A" w:rsidP="00AA6DB7">
            <w:pPr>
              <w:shd w:val="clear" w:color="auto" w:fill="FFFFFF"/>
              <w:spacing w:after="0" w:line="240" w:lineRule="auto"/>
              <w:jc w:val="left"/>
              <w:rPr>
                <w:sz w:val="24"/>
                <w:szCs w:val="24"/>
              </w:rPr>
            </w:pPr>
            <w:r w:rsidRPr="004D6E0A">
              <w:rPr>
                <w:sz w:val="24"/>
                <w:szCs w:val="24"/>
              </w:rPr>
              <w:t>3. Sociālā ietekme, ietekme uz vidi, iedzīvotāju veselību, uzņēmējdarbības vidi pašvaldības teritorijā, kā arī plānotā regulējuma ietekme uz konkurenci</w:t>
            </w: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14D7" w14:textId="09B64934" w:rsidR="005C1D4D" w:rsidRPr="005C1D4D" w:rsidRDefault="004D6E0A" w:rsidP="005C1D4D">
            <w:pPr>
              <w:spacing w:after="0" w:line="240" w:lineRule="auto"/>
              <w:rPr>
                <w:sz w:val="24"/>
                <w:szCs w:val="24"/>
              </w:rPr>
            </w:pPr>
            <w:r w:rsidRPr="004D6E0A">
              <w:rPr>
                <w:sz w:val="24"/>
                <w:szCs w:val="24"/>
              </w:rPr>
              <w:t xml:space="preserve">Sociālā ietekme – </w:t>
            </w:r>
            <w:r w:rsidR="0036403D">
              <w:rPr>
                <w:sz w:val="24"/>
                <w:szCs w:val="24"/>
              </w:rPr>
              <w:t>s</w:t>
            </w:r>
            <w:r w:rsidR="005C1D4D" w:rsidRPr="005C1D4D">
              <w:rPr>
                <w:sz w:val="24"/>
                <w:szCs w:val="24"/>
              </w:rPr>
              <w:t>aistoš</w:t>
            </w:r>
            <w:r w:rsidR="0036403D">
              <w:rPr>
                <w:sz w:val="24"/>
                <w:szCs w:val="24"/>
              </w:rPr>
              <w:t>o</w:t>
            </w:r>
            <w:r w:rsidR="005C1D4D" w:rsidRPr="005C1D4D">
              <w:rPr>
                <w:sz w:val="24"/>
                <w:szCs w:val="24"/>
              </w:rPr>
              <w:t xml:space="preserve"> noteikum</w:t>
            </w:r>
            <w:r w:rsidR="0036403D">
              <w:rPr>
                <w:sz w:val="24"/>
                <w:szCs w:val="24"/>
              </w:rPr>
              <w:t>u</w:t>
            </w:r>
            <w:r w:rsidR="005C1D4D" w:rsidRPr="005C1D4D">
              <w:rPr>
                <w:sz w:val="24"/>
                <w:szCs w:val="24"/>
              </w:rPr>
              <w:t xml:space="preserve"> </w:t>
            </w:r>
            <w:r w:rsidR="0036403D">
              <w:rPr>
                <w:sz w:val="24"/>
                <w:szCs w:val="24"/>
              </w:rPr>
              <w:t xml:space="preserve">piemērošanas rezultātā tiks </w:t>
            </w:r>
            <w:r w:rsidR="005C1D4D" w:rsidRPr="004D6E0A">
              <w:rPr>
                <w:sz w:val="24"/>
                <w:szCs w:val="24"/>
              </w:rPr>
              <w:t>uzlabo</w:t>
            </w:r>
            <w:r w:rsidR="0036403D">
              <w:rPr>
                <w:sz w:val="24"/>
                <w:szCs w:val="24"/>
              </w:rPr>
              <w:t>ta</w:t>
            </w:r>
            <w:r w:rsidR="005C1D4D" w:rsidRPr="004D6E0A">
              <w:rPr>
                <w:sz w:val="24"/>
                <w:szCs w:val="24"/>
              </w:rPr>
              <w:t xml:space="preserve"> </w:t>
            </w:r>
            <w:r w:rsidR="005C1D4D">
              <w:rPr>
                <w:sz w:val="24"/>
                <w:szCs w:val="24"/>
              </w:rPr>
              <w:t>p</w:t>
            </w:r>
            <w:r w:rsidR="005C1D4D" w:rsidRPr="004D6E0A">
              <w:rPr>
                <w:sz w:val="24"/>
                <w:szCs w:val="24"/>
              </w:rPr>
              <w:t>ašvaldības iedzīvotāju sociāl</w:t>
            </w:r>
            <w:r w:rsidR="0036403D">
              <w:rPr>
                <w:sz w:val="24"/>
                <w:szCs w:val="24"/>
              </w:rPr>
              <w:t>ā</w:t>
            </w:r>
            <w:r w:rsidR="005C1D4D" w:rsidRPr="004D6E0A">
              <w:rPr>
                <w:sz w:val="24"/>
                <w:szCs w:val="24"/>
              </w:rPr>
              <w:t xml:space="preserve"> situāciju un dzīves kvalitāt</w:t>
            </w:r>
            <w:r w:rsidR="0036403D">
              <w:rPr>
                <w:sz w:val="24"/>
                <w:szCs w:val="24"/>
              </w:rPr>
              <w:t>es</w:t>
            </w:r>
            <w:r w:rsidR="0027511C">
              <w:rPr>
                <w:sz w:val="24"/>
                <w:szCs w:val="24"/>
              </w:rPr>
              <w:t xml:space="preserve">, lai </w:t>
            </w:r>
            <w:r w:rsidR="0027511C" w:rsidRPr="005E5735">
              <w:rPr>
                <w:sz w:val="24"/>
                <w:szCs w:val="24"/>
              </w:rPr>
              <w:t>politiski represēt</w:t>
            </w:r>
            <w:r w:rsidR="0027511C">
              <w:rPr>
                <w:sz w:val="24"/>
                <w:szCs w:val="24"/>
              </w:rPr>
              <w:t>ās</w:t>
            </w:r>
            <w:r w:rsidR="0027511C" w:rsidRPr="005E5735">
              <w:rPr>
                <w:sz w:val="24"/>
                <w:szCs w:val="24"/>
              </w:rPr>
              <w:t xml:space="preserve"> person</w:t>
            </w:r>
            <w:r w:rsidR="0027511C">
              <w:rPr>
                <w:sz w:val="24"/>
                <w:szCs w:val="24"/>
              </w:rPr>
              <w:t>as</w:t>
            </w:r>
            <w:r w:rsidR="0027511C" w:rsidRPr="005E5735">
              <w:rPr>
                <w:sz w:val="24"/>
                <w:szCs w:val="24"/>
              </w:rPr>
              <w:t xml:space="preserve"> un Černobiļas atomelektrostacijas (AES) avārijas seku likvidēšanas </w:t>
            </w:r>
            <w:r w:rsidR="0027511C" w:rsidRPr="0027511C">
              <w:rPr>
                <w:sz w:val="24"/>
                <w:szCs w:val="24"/>
              </w:rPr>
              <w:t>dalībnieki</w:t>
            </w:r>
            <w:r w:rsidR="0027511C">
              <w:rPr>
                <w:sz w:val="24"/>
                <w:szCs w:val="24"/>
              </w:rPr>
              <w:t xml:space="preserve"> saņemtu pabalstu nebūs katru gadu jāvēršas pašvaldībā, pietiks ar pirmreizēju iesniegumu.</w:t>
            </w:r>
          </w:p>
          <w:p w14:paraId="041D7D26" w14:textId="436FC9E5" w:rsidR="004D6E0A" w:rsidRPr="004D6E0A" w:rsidRDefault="004D6E0A" w:rsidP="004D6E0A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D6E0A">
              <w:rPr>
                <w:sz w:val="24"/>
                <w:szCs w:val="24"/>
              </w:rPr>
              <w:t>Ietekme uz iedzīvotāju veselību –</w:t>
            </w:r>
            <w:r>
              <w:rPr>
                <w:sz w:val="24"/>
                <w:szCs w:val="24"/>
              </w:rPr>
              <w:t xml:space="preserve"> saistoš</w:t>
            </w:r>
            <w:r w:rsidR="005C1D4D">
              <w:rPr>
                <w:sz w:val="24"/>
                <w:szCs w:val="24"/>
              </w:rPr>
              <w:t>ie</w:t>
            </w:r>
            <w:r>
              <w:rPr>
                <w:sz w:val="24"/>
                <w:szCs w:val="24"/>
              </w:rPr>
              <w:t xml:space="preserve"> noteikum</w:t>
            </w:r>
            <w:r w:rsidR="005C1D4D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tieši neietekmē iedzīvotāju veselību.</w:t>
            </w:r>
          </w:p>
          <w:p w14:paraId="7F42ECD1" w14:textId="77777777" w:rsidR="004D6E0A" w:rsidRDefault="004D6E0A" w:rsidP="004D6E0A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D6E0A">
              <w:rPr>
                <w:sz w:val="24"/>
                <w:szCs w:val="24"/>
              </w:rPr>
              <w:t>Ietekme uz uzņēmējdarbības vidi pašvaldības teritorijā – nav attiecināms. </w:t>
            </w:r>
          </w:p>
          <w:p w14:paraId="6E18B008" w14:textId="6DE76720" w:rsidR="004D6E0A" w:rsidRDefault="004D6E0A" w:rsidP="004D6E0A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D6E0A">
              <w:rPr>
                <w:sz w:val="24"/>
                <w:szCs w:val="24"/>
              </w:rPr>
              <w:t xml:space="preserve">Ietekme uz konkurenci – </w:t>
            </w:r>
            <w:r w:rsidR="005C1D4D">
              <w:rPr>
                <w:sz w:val="24"/>
                <w:szCs w:val="24"/>
              </w:rPr>
              <w:t>s</w:t>
            </w:r>
            <w:r w:rsidRPr="004D6E0A">
              <w:rPr>
                <w:sz w:val="24"/>
                <w:szCs w:val="24"/>
              </w:rPr>
              <w:t>aistošos noteikumos paredzētie pasākumi neierobežo konkurenci.</w:t>
            </w:r>
          </w:p>
        </w:tc>
      </w:tr>
      <w:tr w:rsidR="004D6E0A" w:rsidRPr="001B1D4C" w14:paraId="3CE0D02A" w14:textId="77777777" w:rsidTr="004D6E0A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E110" w14:textId="00B0CE3C" w:rsidR="004D6E0A" w:rsidRPr="004D6E0A" w:rsidRDefault="004D6E0A" w:rsidP="00AA6DB7">
            <w:pPr>
              <w:shd w:val="clear" w:color="auto" w:fill="FFFFFF"/>
              <w:spacing w:after="0" w:line="240" w:lineRule="auto"/>
              <w:jc w:val="left"/>
              <w:rPr>
                <w:sz w:val="24"/>
                <w:szCs w:val="24"/>
              </w:rPr>
            </w:pPr>
            <w:r w:rsidRPr="004D6E0A">
              <w:rPr>
                <w:sz w:val="24"/>
                <w:szCs w:val="24"/>
              </w:rPr>
              <w:t>4. Ietekme uz administratīvajām procedūrām un to izmaksām</w:t>
            </w: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0856" w14:textId="2ED804E3" w:rsidR="004D6E0A" w:rsidRPr="004D6E0A" w:rsidRDefault="00EC48E6" w:rsidP="004D6E0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 persona atbilst kādai no saistošos noteikumos minētajai personu grupai, kura ir tiesīga saņemt pabalstu</w:t>
            </w:r>
            <w:r w:rsidR="004D6E0A" w:rsidRPr="004D6E0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tai ar iesniegumu </w:t>
            </w:r>
            <w:r w:rsidR="005C1D4D">
              <w:rPr>
                <w:sz w:val="24"/>
                <w:szCs w:val="24"/>
              </w:rPr>
              <w:t xml:space="preserve">jāvēršas </w:t>
            </w:r>
            <w:r w:rsidR="00077E6E">
              <w:rPr>
                <w:sz w:val="24"/>
                <w:szCs w:val="24"/>
              </w:rPr>
              <w:t>Limbažu novada Sociālajā dienestā</w:t>
            </w:r>
            <w:r w:rsidR="005C1D4D">
              <w:rPr>
                <w:sz w:val="24"/>
                <w:szCs w:val="24"/>
              </w:rPr>
              <w:t>, lai</w:t>
            </w:r>
            <w:r w:rsidR="004D6E0A" w:rsidRPr="004D6E0A">
              <w:rPr>
                <w:sz w:val="24"/>
                <w:szCs w:val="24"/>
              </w:rPr>
              <w:t xml:space="preserve"> saņemt</w:t>
            </w:r>
            <w:r w:rsidR="005C1D4D">
              <w:rPr>
                <w:sz w:val="24"/>
                <w:szCs w:val="24"/>
              </w:rPr>
              <w:t>u</w:t>
            </w:r>
            <w:r w:rsidR="004D6E0A" w:rsidRPr="004D6E0A">
              <w:rPr>
                <w:sz w:val="24"/>
                <w:szCs w:val="24"/>
              </w:rPr>
              <w:t xml:space="preserve"> sociālo pabalstu.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77E6E" w:rsidRPr="001B1D4C" w14:paraId="3FC8D091" w14:textId="77777777" w:rsidTr="004D6E0A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CBC8" w14:textId="163BCE5E" w:rsidR="00077E6E" w:rsidRPr="004D6E0A" w:rsidRDefault="00077E6E" w:rsidP="00077E6E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077E6E">
              <w:rPr>
                <w:sz w:val="24"/>
                <w:szCs w:val="24"/>
              </w:rPr>
              <w:lastRenderedPageBreak/>
              <w:t>5. Ietekme uz pašvaldības funkcijām un cilvēkresursiem</w:t>
            </w: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BF83" w14:textId="77777777" w:rsidR="00077E6E" w:rsidRPr="00077E6E" w:rsidRDefault="00077E6E" w:rsidP="00077E6E">
            <w:pPr>
              <w:spacing w:after="0" w:line="240" w:lineRule="auto"/>
              <w:rPr>
                <w:sz w:val="24"/>
                <w:szCs w:val="24"/>
              </w:rPr>
            </w:pPr>
            <w:r w:rsidRPr="00077E6E">
              <w:rPr>
                <w:sz w:val="24"/>
                <w:szCs w:val="24"/>
              </w:rPr>
              <w:t>Jauna ietekme uz Pašvaldības funkcijām netiek paredzēta.</w:t>
            </w:r>
          </w:p>
          <w:p w14:paraId="7ADD586D" w14:textId="77777777" w:rsidR="00077E6E" w:rsidRDefault="00077E6E" w:rsidP="00077E6E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077E6E">
              <w:rPr>
                <w:sz w:val="24"/>
                <w:szCs w:val="24"/>
              </w:rPr>
              <w:t>Saistošie noteikumi neparedz jaunu darba vietu radīšanu.</w:t>
            </w:r>
          </w:p>
          <w:p w14:paraId="41A3B0F7" w14:textId="7B35CF90" w:rsidR="00AD272B" w:rsidRPr="004D6E0A" w:rsidRDefault="00AD272B" w:rsidP="00077E6E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Saistošo noteikumu izpilde tiks nodrošināta par pašvaldības budžeta līdzekļiem.</w:t>
            </w:r>
          </w:p>
        </w:tc>
      </w:tr>
      <w:tr w:rsidR="00077E6E" w:rsidRPr="001B1D4C" w14:paraId="707CED16" w14:textId="77777777" w:rsidTr="004D6E0A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7C86" w14:textId="45D59A5B" w:rsidR="00077E6E" w:rsidRPr="00077E6E" w:rsidRDefault="00077E6E" w:rsidP="00077E6E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077E6E">
              <w:rPr>
                <w:sz w:val="24"/>
                <w:szCs w:val="24"/>
              </w:rPr>
              <w:t>6. Informācija par izpildes nodrošināšanu</w:t>
            </w: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D847" w14:textId="1B7D8F67" w:rsidR="00077E6E" w:rsidRPr="00077E6E" w:rsidRDefault="00077E6E" w:rsidP="00077E6E">
            <w:pPr>
              <w:spacing w:after="0" w:line="240" w:lineRule="auto"/>
              <w:rPr>
                <w:sz w:val="24"/>
                <w:szCs w:val="24"/>
              </w:rPr>
            </w:pPr>
            <w:r w:rsidRPr="00077E6E">
              <w:rPr>
                <w:sz w:val="24"/>
                <w:szCs w:val="24"/>
              </w:rPr>
              <w:t>Saistošajos noteikumos noteiktos pabalstus administrē Pašvaldības iestāde "</w:t>
            </w:r>
            <w:r>
              <w:rPr>
                <w:sz w:val="24"/>
                <w:szCs w:val="24"/>
              </w:rPr>
              <w:t xml:space="preserve">Limbažu novada Sociālais </w:t>
            </w:r>
            <w:r w:rsidRPr="00077E6E">
              <w:rPr>
                <w:sz w:val="24"/>
                <w:szCs w:val="24"/>
              </w:rPr>
              <w:t>dienests".</w:t>
            </w:r>
          </w:p>
        </w:tc>
      </w:tr>
      <w:tr w:rsidR="00077E6E" w:rsidRPr="001B1D4C" w14:paraId="22B7625A" w14:textId="77777777" w:rsidTr="004D6E0A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8C53" w14:textId="5A92E834" w:rsidR="00077E6E" w:rsidRPr="00077E6E" w:rsidRDefault="00077E6E" w:rsidP="00077E6E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077E6E">
              <w:rPr>
                <w:sz w:val="24"/>
                <w:szCs w:val="24"/>
              </w:rPr>
              <w:t>Prasību un izmaksu samērīgums pret ieguvumiem, ko sniedz mērķa sasniegšana</w:t>
            </w: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B607" w14:textId="77777777" w:rsidR="00077E6E" w:rsidRDefault="00077E6E" w:rsidP="00077E6E">
            <w:pPr>
              <w:spacing w:after="0" w:line="240" w:lineRule="auto"/>
              <w:rPr>
                <w:sz w:val="24"/>
                <w:szCs w:val="24"/>
              </w:rPr>
            </w:pPr>
            <w:r w:rsidRPr="00077E6E">
              <w:rPr>
                <w:sz w:val="24"/>
                <w:szCs w:val="24"/>
              </w:rPr>
              <w:t>Saistošie noteikumi ir piemēroti iecerētā mērķa sasniegšanas nodrošināšanai un paredz tikai to, kas ir vajadzīgs minētā mērķa</w:t>
            </w:r>
            <w:r>
              <w:rPr>
                <w:sz w:val="24"/>
                <w:szCs w:val="24"/>
              </w:rPr>
              <w:t xml:space="preserve"> </w:t>
            </w:r>
            <w:r w:rsidRPr="00077E6E">
              <w:rPr>
                <w:sz w:val="24"/>
                <w:szCs w:val="24"/>
              </w:rPr>
              <w:t>sasniegšanai.</w:t>
            </w:r>
          </w:p>
          <w:p w14:paraId="2275F7FD" w14:textId="1B45F17E" w:rsidR="00AD272B" w:rsidRPr="00077E6E" w:rsidRDefault="00AD272B" w:rsidP="00FC2DB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Ņemot vērā, kā saistošos noteikumos minēto pabalstu izmaksas ir pašvaldības brīvprātīgā iniciatīvā, tai nav citu iespēju kā tikai caur saistošiem noteikumiem, šos pabalstus piešķirt</w:t>
            </w:r>
            <w:r w:rsidR="0027511C">
              <w:rPr>
                <w:sz w:val="24"/>
                <w:szCs w:val="24"/>
              </w:rPr>
              <w:t xml:space="preserve"> un noteikt to izmaksāšanas kārtību</w:t>
            </w:r>
            <w:r w:rsidR="00FC2DB4">
              <w:rPr>
                <w:sz w:val="24"/>
                <w:szCs w:val="24"/>
              </w:rPr>
              <w:t>.</w:t>
            </w:r>
          </w:p>
        </w:tc>
      </w:tr>
      <w:tr w:rsidR="00077E6E" w:rsidRPr="001B1D4C" w14:paraId="18DFDF9D" w14:textId="77777777" w:rsidTr="004D6E0A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A900" w14:textId="01C66C32" w:rsidR="00077E6E" w:rsidRDefault="00077E6E" w:rsidP="00077E6E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077E6E">
              <w:rPr>
                <w:sz w:val="24"/>
                <w:szCs w:val="24"/>
              </w:rPr>
              <w:t>8. Izstrādes gaitā veiktās konsultācijas ar privātpersonām un institūcijām</w:t>
            </w:r>
          </w:p>
        </w:tc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54834" w14:textId="654E2AB7" w:rsidR="00E037CB" w:rsidRPr="00077E6E" w:rsidRDefault="00077E6E" w:rsidP="00FC2DB4">
            <w:pPr>
              <w:spacing w:after="0" w:line="240" w:lineRule="auto"/>
              <w:rPr>
                <w:sz w:val="24"/>
                <w:szCs w:val="24"/>
              </w:rPr>
            </w:pPr>
            <w:r w:rsidRPr="00077E6E">
              <w:rPr>
                <w:sz w:val="24"/>
                <w:szCs w:val="24"/>
              </w:rPr>
              <w:t>Saistošo noteikumu projekt</w:t>
            </w:r>
            <w:r w:rsidR="00745F66">
              <w:rPr>
                <w:sz w:val="24"/>
                <w:szCs w:val="24"/>
              </w:rPr>
              <w:t>s</w:t>
            </w:r>
            <w:r w:rsidRPr="00077E6E">
              <w:rPr>
                <w:sz w:val="24"/>
                <w:szCs w:val="24"/>
              </w:rPr>
              <w:t xml:space="preserve"> un tam pievienot</w:t>
            </w:r>
            <w:r w:rsidR="00745F66">
              <w:rPr>
                <w:sz w:val="24"/>
                <w:szCs w:val="24"/>
              </w:rPr>
              <w:t>ais</w:t>
            </w:r>
            <w:r w:rsidRPr="00077E6E">
              <w:rPr>
                <w:sz w:val="24"/>
                <w:szCs w:val="24"/>
              </w:rPr>
              <w:t xml:space="preserve"> paskaidrojuma rakst</w:t>
            </w:r>
            <w:r w:rsidR="00745F66">
              <w:rPr>
                <w:sz w:val="24"/>
                <w:szCs w:val="24"/>
              </w:rPr>
              <w:t>s</w:t>
            </w:r>
            <w:r w:rsidRPr="00077E6E">
              <w:rPr>
                <w:sz w:val="24"/>
                <w:szCs w:val="24"/>
              </w:rPr>
              <w:t xml:space="preserve"> pašvaldības nolikumā noteiktajā kārtībā </w:t>
            </w:r>
            <w:r w:rsidR="00745F66">
              <w:rPr>
                <w:sz w:val="24"/>
                <w:szCs w:val="24"/>
              </w:rPr>
              <w:t xml:space="preserve">tika </w:t>
            </w:r>
            <w:r w:rsidRPr="00077E6E">
              <w:rPr>
                <w:sz w:val="24"/>
                <w:szCs w:val="24"/>
              </w:rPr>
              <w:t>publicē</w:t>
            </w:r>
            <w:r w:rsidR="00745F66">
              <w:rPr>
                <w:sz w:val="24"/>
                <w:szCs w:val="24"/>
              </w:rPr>
              <w:t>ts</w:t>
            </w:r>
            <w:r w:rsidRPr="00077E6E">
              <w:rPr>
                <w:sz w:val="24"/>
                <w:szCs w:val="24"/>
              </w:rPr>
              <w:t xml:space="preserve"> pašvaldības oficiālajā tīmekļvietnē sabiedrības viedokļa noskaidrošanai, paredzot termiņu, kas nav mazāks par divām nedēļām.</w:t>
            </w:r>
            <w:r w:rsidR="00745F66">
              <w:rPr>
                <w:sz w:val="24"/>
                <w:szCs w:val="24"/>
              </w:rPr>
              <w:t xml:space="preserve"> Sabiedrības viedokļa noskaidrošana tika veikta no 26.09.2023. līdz 12.10.2023. Ieteikumi un priekšlikumi netika saņemti.</w:t>
            </w:r>
          </w:p>
        </w:tc>
      </w:tr>
    </w:tbl>
    <w:p w14:paraId="66E17F98" w14:textId="77777777" w:rsidR="003C2123" w:rsidRDefault="003C2123" w:rsidP="00B259A4">
      <w:pPr>
        <w:ind w:left="0" w:firstLine="0"/>
        <w:rPr>
          <w:b/>
          <w:bCs/>
        </w:rPr>
      </w:pPr>
    </w:p>
    <w:p w14:paraId="2FF57104" w14:textId="77777777" w:rsidR="008E51CE" w:rsidRPr="004E77A0" w:rsidRDefault="008E51CE" w:rsidP="00B259A4">
      <w:pPr>
        <w:ind w:left="0" w:firstLine="0"/>
        <w:rPr>
          <w:b/>
          <w:bCs/>
        </w:rPr>
      </w:pPr>
    </w:p>
    <w:p w14:paraId="21D11AE7" w14:textId="77777777" w:rsidR="00710014" w:rsidRPr="00710014" w:rsidRDefault="00710014" w:rsidP="00710014">
      <w:pPr>
        <w:spacing w:after="0" w:line="240" w:lineRule="auto"/>
        <w:ind w:left="0" w:righ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710014">
        <w:rPr>
          <w:rFonts w:eastAsia="Calibri"/>
          <w:color w:val="auto"/>
          <w:sz w:val="24"/>
          <w:szCs w:val="24"/>
          <w:lang w:eastAsia="en-US"/>
        </w:rPr>
        <w:t>Limbažu novada pašvaldības</w:t>
      </w:r>
    </w:p>
    <w:p w14:paraId="6E01E0EA" w14:textId="77777777" w:rsidR="00710014" w:rsidRPr="00710014" w:rsidRDefault="00710014" w:rsidP="00710014">
      <w:pPr>
        <w:spacing w:after="0" w:line="240" w:lineRule="auto"/>
        <w:ind w:left="0" w:righ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710014">
        <w:rPr>
          <w:rFonts w:eastAsia="Calibri"/>
          <w:color w:val="auto"/>
          <w:sz w:val="24"/>
          <w:szCs w:val="24"/>
          <w:lang w:eastAsia="en-US"/>
        </w:rPr>
        <w:t>Domes priekšsēdētāja 1.vietnieks</w:t>
      </w:r>
      <w:r w:rsidRPr="00710014">
        <w:rPr>
          <w:rFonts w:eastAsia="Calibri"/>
          <w:color w:val="auto"/>
          <w:sz w:val="24"/>
          <w:szCs w:val="24"/>
          <w:lang w:eastAsia="en-US"/>
        </w:rPr>
        <w:tab/>
      </w:r>
      <w:r w:rsidRPr="00710014">
        <w:rPr>
          <w:rFonts w:eastAsia="Calibri"/>
          <w:color w:val="auto"/>
          <w:sz w:val="24"/>
          <w:szCs w:val="24"/>
          <w:lang w:eastAsia="en-US"/>
        </w:rPr>
        <w:tab/>
      </w:r>
      <w:r w:rsidRPr="00710014">
        <w:rPr>
          <w:rFonts w:eastAsia="Calibri"/>
          <w:color w:val="auto"/>
          <w:sz w:val="24"/>
          <w:szCs w:val="24"/>
          <w:lang w:eastAsia="en-US"/>
        </w:rPr>
        <w:tab/>
      </w:r>
      <w:r w:rsidRPr="00710014">
        <w:rPr>
          <w:rFonts w:eastAsia="Calibri"/>
          <w:color w:val="auto"/>
          <w:sz w:val="24"/>
          <w:szCs w:val="24"/>
          <w:lang w:eastAsia="en-US"/>
        </w:rPr>
        <w:tab/>
      </w:r>
      <w:r w:rsidRPr="00710014">
        <w:rPr>
          <w:rFonts w:eastAsia="Calibri"/>
          <w:color w:val="auto"/>
          <w:sz w:val="24"/>
          <w:szCs w:val="24"/>
          <w:lang w:eastAsia="en-US"/>
        </w:rPr>
        <w:tab/>
      </w:r>
      <w:r w:rsidRPr="00710014">
        <w:rPr>
          <w:rFonts w:eastAsia="Calibri"/>
          <w:color w:val="auto"/>
          <w:sz w:val="24"/>
          <w:szCs w:val="24"/>
          <w:lang w:eastAsia="en-US"/>
        </w:rPr>
        <w:tab/>
      </w:r>
      <w:r w:rsidRPr="00710014">
        <w:rPr>
          <w:rFonts w:eastAsia="Calibri"/>
          <w:color w:val="auto"/>
          <w:sz w:val="24"/>
          <w:szCs w:val="24"/>
          <w:lang w:eastAsia="en-US"/>
        </w:rPr>
        <w:tab/>
        <w:t xml:space="preserve">M. </w:t>
      </w:r>
      <w:proofErr w:type="spellStart"/>
      <w:r w:rsidRPr="00710014">
        <w:rPr>
          <w:rFonts w:eastAsia="Calibri"/>
          <w:color w:val="auto"/>
          <w:sz w:val="24"/>
          <w:szCs w:val="24"/>
          <w:lang w:eastAsia="en-US"/>
        </w:rPr>
        <w:t>Beļaunieks</w:t>
      </w:r>
      <w:proofErr w:type="spellEnd"/>
    </w:p>
    <w:p w14:paraId="0176748D" w14:textId="77777777" w:rsidR="00773861" w:rsidRPr="00773861" w:rsidRDefault="00773861" w:rsidP="00773861">
      <w:pPr>
        <w:spacing w:after="0" w:line="240" w:lineRule="auto"/>
        <w:ind w:left="0" w:right="0" w:firstLine="0"/>
        <w:rPr>
          <w:rFonts w:eastAsia="Calibri"/>
          <w:b/>
          <w:color w:val="auto"/>
          <w:sz w:val="20"/>
          <w:szCs w:val="20"/>
          <w:lang w:eastAsia="en-US"/>
        </w:rPr>
      </w:pPr>
      <w:bookmarkStart w:id="0" w:name="_GoBack"/>
      <w:bookmarkEnd w:id="0"/>
    </w:p>
    <w:p w14:paraId="3861EEE2" w14:textId="77777777" w:rsidR="00773861" w:rsidRPr="00773861" w:rsidRDefault="00773861" w:rsidP="00773861">
      <w:pPr>
        <w:spacing w:after="0" w:line="240" w:lineRule="auto"/>
        <w:ind w:left="0" w:right="0" w:firstLine="0"/>
        <w:rPr>
          <w:rFonts w:eastAsia="Calibri"/>
          <w:b/>
          <w:color w:val="auto"/>
          <w:sz w:val="20"/>
          <w:szCs w:val="20"/>
          <w:lang w:eastAsia="en-US"/>
        </w:rPr>
      </w:pPr>
    </w:p>
    <w:p w14:paraId="20162DA5" w14:textId="77777777" w:rsidR="00773861" w:rsidRPr="00773861" w:rsidRDefault="00773861" w:rsidP="00773861">
      <w:pPr>
        <w:spacing w:after="0" w:line="240" w:lineRule="auto"/>
        <w:ind w:left="0" w:right="0" w:firstLine="0"/>
        <w:rPr>
          <w:rFonts w:eastAsia="Calibri"/>
          <w:b/>
          <w:color w:val="auto"/>
          <w:sz w:val="18"/>
          <w:szCs w:val="18"/>
          <w:lang w:eastAsia="en-US"/>
        </w:rPr>
      </w:pPr>
    </w:p>
    <w:p w14:paraId="0DE1D435" w14:textId="77777777" w:rsidR="00773861" w:rsidRPr="00773861" w:rsidRDefault="00773861" w:rsidP="00773861">
      <w:pPr>
        <w:spacing w:after="0" w:line="240" w:lineRule="auto"/>
        <w:ind w:left="0" w:right="0" w:firstLine="0"/>
        <w:rPr>
          <w:rFonts w:eastAsia="Calibri"/>
          <w:color w:val="auto"/>
          <w:sz w:val="20"/>
          <w:szCs w:val="20"/>
          <w:lang w:eastAsia="en-US"/>
        </w:rPr>
      </w:pPr>
      <w:r w:rsidRPr="00773861">
        <w:rPr>
          <w:rFonts w:eastAsia="Calibri"/>
          <w:color w:val="auto"/>
          <w:sz w:val="20"/>
          <w:szCs w:val="20"/>
          <w:lang w:eastAsia="en-US"/>
        </w:rPr>
        <w:t>ŠIS DOKUMENTS IR PARAKSTĪTS AR DROŠU ELEKTRONISKO PARAKSTU UN SATUR LAIKA ZĪMOGU</w:t>
      </w:r>
    </w:p>
    <w:p w14:paraId="4AE5B449" w14:textId="701AED51" w:rsidR="00BD62B5" w:rsidRPr="00773861" w:rsidRDefault="00BD62B5" w:rsidP="00773861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sectPr w:rsidR="00BD62B5" w:rsidRPr="00773861" w:rsidSect="00844AAC">
      <w:headerReference w:type="default" r:id="rId9"/>
      <w:footnotePr>
        <w:numRestart w:val="eachPage"/>
      </w:footnotePr>
      <w:pgSz w:w="11906" w:h="16838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262B7" w14:textId="77777777" w:rsidR="00D1281A" w:rsidRDefault="00D1281A">
      <w:pPr>
        <w:spacing w:after="0" w:line="240" w:lineRule="auto"/>
      </w:pPr>
      <w:r>
        <w:separator/>
      </w:r>
    </w:p>
  </w:endnote>
  <w:endnote w:type="continuationSeparator" w:id="0">
    <w:p w14:paraId="2BAEA5F0" w14:textId="77777777" w:rsidR="00D1281A" w:rsidRDefault="00D12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7C542" w14:textId="77777777" w:rsidR="00D1281A" w:rsidRDefault="00D1281A">
      <w:pPr>
        <w:spacing w:after="30" w:line="259" w:lineRule="auto"/>
        <w:ind w:left="41" w:right="0" w:firstLine="0"/>
        <w:jc w:val="left"/>
      </w:pPr>
      <w:r>
        <w:separator/>
      </w:r>
    </w:p>
  </w:footnote>
  <w:footnote w:type="continuationSeparator" w:id="0">
    <w:p w14:paraId="09A92ACD" w14:textId="77777777" w:rsidR="00D1281A" w:rsidRDefault="00D1281A">
      <w:pPr>
        <w:spacing w:after="30" w:line="259" w:lineRule="auto"/>
        <w:ind w:left="41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67858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C3EFFE2" w14:textId="68B99BFE" w:rsidR="009679B8" w:rsidRPr="00FE709C" w:rsidRDefault="009679B8">
        <w:pPr>
          <w:pStyle w:val="Galvene"/>
          <w:jc w:val="center"/>
          <w:rPr>
            <w:sz w:val="24"/>
            <w:szCs w:val="24"/>
          </w:rPr>
        </w:pPr>
        <w:r w:rsidRPr="00FE709C">
          <w:rPr>
            <w:sz w:val="24"/>
            <w:szCs w:val="24"/>
          </w:rPr>
          <w:fldChar w:fldCharType="begin"/>
        </w:r>
        <w:r w:rsidRPr="00FE709C">
          <w:rPr>
            <w:sz w:val="24"/>
            <w:szCs w:val="24"/>
          </w:rPr>
          <w:instrText>PAGE   \* MERGEFORMAT</w:instrText>
        </w:r>
        <w:r w:rsidRPr="00FE709C">
          <w:rPr>
            <w:sz w:val="24"/>
            <w:szCs w:val="24"/>
          </w:rPr>
          <w:fldChar w:fldCharType="separate"/>
        </w:r>
        <w:r w:rsidR="00710014">
          <w:rPr>
            <w:noProof/>
            <w:sz w:val="24"/>
            <w:szCs w:val="24"/>
          </w:rPr>
          <w:t>2</w:t>
        </w:r>
        <w:r w:rsidRPr="00FE709C">
          <w:rPr>
            <w:sz w:val="24"/>
            <w:szCs w:val="24"/>
          </w:rPr>
          <w:fldChar w:fldCharType="end"/>
        </w:r>
      </w:p>
    </w:sdtContent>
  </w:sdt>
  <w:p w14:paraId="549784C1" w14:textId="77777777" w:rsidR="009679B8" w:rsidRDefault="009679B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330B"/>
    <w:multiLevelType w:val="multilevel"/>
    <w:tmpl w:val="D04C6D42"/>
    <w:lvl w:ilvl="0">
      <w:start w:val="1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5310D"/>
    <w:multiLevelType w:val="multilevel"/>
    <w:tmpl w:val="FB5EE0BA"/>
    <w:lvl w:ilvl="0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B37A6"/>
    <w:multiLevelType w:val="multilevel"/>
    <w:tmpl w:val="42369F30"/>
    <w:lvl w:ilvl="0">
      <w:start w:val="26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0416B"/>
    <w:multiLevelType w:val="multilevel"/>
    <w:tmpl w:val="5608E10E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FC492A"/>
    <w:multiLevelType w:val="hybridMultilevel"/>
    <w:tmpl w:val="F37A456C"/>
    <w:lvl w:ilvl="0" w:tplc="B19EABB8">
      <w:start w:val="2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DCBF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44A1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422B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F27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6CF0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18FC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D63B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D413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487606"/>
    <w:multiLevelType w:val="multilevel"/>
    <w:tmpl w:val="40FC71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348107B"/>
    <w:multiLevelType w:val="multilevel"/>
    <w:tmpl w:val="D472A800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162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F356C3"/>
    <w:multiLevelType w:val="hybridMultilevel"/>
    <w:tmpl w:val="85C45A6C"/>
    <w:lvl w:ilvl="0" w:tplc="0426000F">
      <w:start w:val="1"/>
      <w:numFmt w:val="decimal"/>
      <w:lvlText w:val="%1."/>
      <w:lvlJc w:val="left"/>
      <w:pPr>
        <w:ind w:left="1430" w:hanging="360"/>
      </w:pPr>
    </w:lvl>
    <w:lvl w:ilvl="1" w:tplc="04260019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3CB061F2"/>
    <w:multiLevelType w:val="multilevel"/>
    <w:tmpl w:val="73449240"/>
    <w:lvl w:ilvl="0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B85574"/>
    <w:multiLevelType w:val="multilevel"/>
    <w:tmpl w:val="0130E9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0" w15:restartNumberingAfterBreak="0">
    <w:nsid w:val="475E2E8E"/>
    <w:multiLevelType w:val="hybridMultilevel"/>
    <w:tmpl w:val="C7F20D3A"/>
    <w:lvl w:ilvl="0" w:tplc="ABDA7192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5DEC94FC">
      <w:start w:val="1"/>
      <w:numFmt w:val="lowerLetter"/>
      <w:lvlText w:val="%2."/>
      <w:lvlJc w:val="left"/>
      <w:pPr>
        <w:ind w:left="1789" w:hanging="360"/>
      </w:pPr>
    </w:lvl>
    <w:lvl w:ilvl="2" w:tplc="EE9EB252">
      <w:start w:val="1"/>
      <w:numFmt w:val="lowerRoman"/>
      <w:lvlText w:val="%3."/>
      <w:lvlJc w:val="right"/>
      <w:pPr>
        <w:ind w:left="2509" w:hanging="180"/>
      </w:pPr>
    </w:lvl>
    <w:lvl w:ilvl="3" w:tplc="A2CCFC90">
      <w:start w:val="1"/>
      <w:numFmt w:val="decimal"/>
      <w:lvlText w:val="%4."/>
      <w:lvlJc w:val="left"/>
      <w:pPr>
        <w:ind w:left="3229" w:hanging="360"/>
      </w:pPr>
    </w:lvl>
    <w:lvl w:ilvl="4" w:tplc="A90493F8">
      <w:start w:val="1"/>
      <w:numFmt w:val="lowerLetter"/>
      <w:lvlText w:val="%5."/>
      <w:lvlJc w:val="left"/>
      <w:pPr>
        <w:ind w:left="3949" w:hanging="360"/>
      </w:pPr>
    </w:lvl>
    <w:lvl w:ilvl="5" w:tplc="287CA708">
      <w:start w:val="1"/>
      <w:numFmt w:val="lowerRoman"/>
      <w:lvlText w:val="%6."/>
      <w:lvlJc w:val="right"/>
      <w:pPr>
        <w:ind w:left="4669" w:hanging="180"/>
      </w:pPr>
    </w:lvl>
    <w:lvl w:ilvl="6" w:tplc="4FEEF3B0">
      <w:start w:val="1"/>
      <w:numFmt w:val="decimal"/>
      <w:lvlText w:val="%7."/>
      <w:lvlJc w:val="left"/>
      <w:pPr>
        <w:ind w:left="5389" w:hanging="360"/>
      </w:pPr>
    </w:lvl>
    <w:lvl w:ilvl="7" w:tplc="5ECADEAC">
      <w:start w:val="1"/>
      <w:numFmt w:val="lowerLetter"/>
      <w:lvlText w:val="%8."/>
      <w:lvlJc w:val="left"/>
      <w:pPr>
        <w:ind w:left="6109" w:hanging="360"/>
      </w:pPr>
    </w:lvl>
    <w:lvl w:ilvl="8" w:tplc="04DE344C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F97187"/>
    <w:multiLevelType w:val="multilevel"/>
    <w:tmpl w:val="4DAAC87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2" w15:restartNumberingAfterBreak="0">
    <w:nsid w:val="4BE2637C"/>
    <w:multiLevelType w:val="multilevel"/>
    <w:tmpl w:val="5608E10E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F03445"/>
    <w:multiLevelType w:val="hybridMultilevel"/>
    <w:tmpl w:val="DC625230"/>
    <w:lvl w:ilvl="0" w:tplc="8132D2A4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EFB4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DA1AE8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E05534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BAED88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44F9A8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7A882E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6639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E8E98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A4598A"/>
    <w:multiLevelType w:val="hybridMultilevel"/>
    <w:tmpl w:val="BDEA49CA"/>
    <w:lvl w:ilvl="0" w:tplc="44D8821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6CA8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9E55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A88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80F8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B8E3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A222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B20D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904E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844C72"/>
    <w:multiLevelType w:val="multilevel"/>
    <w:tmpl w:val="DBD28F68"/>
    <w:lvl w:ilvl="0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FBC41FF"/>
    <w:multiLevelType w:val="multilevel"/>
    <w:tmpl w:val="3B3E2B08"/>
    <w:lvl w:ilvl="0">
      <w:start w:val="15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16"/>
  </w:num>
  <w:num w:numId="8">
    <w:abstractNumId w:val="4"/>
  </w:num>
  <w:num w:numId="9">
    <w:abstractNumId w:val="2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B5"/>
    <w:rsid w:val="000001DD"/>
    <w:rsid w:val="00000453"/>
    <w:rsid w:val="00027A82"/>
    <w:rsid w:val="00054D8D"/>
    <w:rsid w:val="00077E6E"/>
    <w:rsid w:val="000934E2"/>
    <w:rsid w:val="000A097C"/>
    <w:rsid w:val="000D06FE"/>
    <w:rsid w:val="000E2C65"/>
    <w:rsid w:val="000E2DDC"/>
    <w:rsid w:val="000F61C9"/>
    <w:rsid w:val="001150A8"/>
    <w:rsid w:val="00130C74"/>
    <w:rsid w:val="001745DE"/>
    <w:rsid w:val="001917AD"/>
    <w:rsid w:val="001A59EA"/>
    <w:rsid w:val="001B1D4C"/>
    <w:rsid w:val="001D2C04"/>
    <w:rsid w:val="001D3ECE"/>
    <w:rsid w:val="001D46E8"/>
    <w:rsid w:val="001F2DDF"/>
    <w:rsid w:val="001F38C3"/>
    <w:rsid w:val="00200B3C"/>
    <w:rsid w:val="00206F33"/>
    <w:rsid w:val="00234E83"/>
    <w:rsid w:val="00251417"/>
    <w:rsid w:val="00260397"/>
    <w:rsid w:val="002737C4"/>
    <w:rsid w:val="0027511C"/>
    <w:rsid w:val="00286853"/>
    <w:rsid w:val="002922FA"/>
    <w:rsid w:val="00292C18"/>
    <w:rsid w:val="00293D30"/>
    <w:rsid w:val="002A4FDE"/>
    <w:rsid w:val="002C3427"/>
    <w:rsid w:val="002D1F7F"/>
    <w:rsid w:val="002F01F9"/>
    <w:rsid w:val="002F7483"/>
    <w:rsid w:val="003109C8"/>
    <w:rsid w:val="00324217"/>
    <w:rsid w:val="00347E5E"/>
    <w:rsid w:val="0036403D"/>
    <w:rsid w:val="00367B9F"/>
    <w:rsid w:val="003C2123"/>
    <w:rsid w:val="003C311E"/>
    <w:rsid w:val="003D3B59"/>
    <w:rsid w:val="003D3DFB"/>
    <w:rsid w:val="003E5B57"/>
    <w:rsid w:val="003F6879"/>
    <w:rsid w:val="0046045F"/>
    <w:rsid w:val="00465D5F"/>
    <w:rsid w:val="00491BFD"/>
    <w:rsid w:val="004B7242"/>
    <w:rsid w:val="004C6ABC"/>
    <w:rsid w:val="004D5CA2"/>
    <w:rsid w:val="004D6E0A"/>
    <w:rsid w:val="004E2DEE"/>
    <w:rsid w:val="004F511B"/>
    <w:rsid w:val="0050378D"/>
    <w:rsid w:val="0051357A"/>
    <w:rsid w:val="00532F97"/>
    <w:rsid w:val="005357F0"/>
    <w:rsid w:val="005523BF"/>
    <w:rsid w:val="005714E5"/>
    <w:rsid w:val="00574234"/>
    <w:rsid w:val="00584EE7"/>
    <w:rsid w:val="005A41CB"/>
    <w:rsid w:val="005A7C30"/>
    <w:rsid w:val="005B432D"/>
    <w:rsid w:val="005C1D4D"/>
    <w:rsid w:val="005C414A"/>
    <w:rsid w:val="005D0E25"/>
    <w:rsid w:val="005E5735"/>
    <w:rsid w:val="005E71C0"/>
    <w:rsid w:val="005F4C2C"/>
    <w:rsid w:val="005F60D0"/>
    <w:rsid w:val="006056AC"/>
    <w:rsid w:val="00612BE3"/>
    <w:rsid w:val="00617114"/>
    <w:rsid w:val="00633C84"/>
    <w:rsid w:val="00636A56"/>
    <w:rsid w:val="006648B4"/>
    <w:rsid w:val="00677F02"/>
    <w:rsid w:val="0068082D"/>
    <w:rsid w:val="00684982"/>
    <w:rsid w:val="0069737C"/>
    <w:rsid w:val="006B50ED"/>
    <w:rsid w:val="006C088A"/>
    <w:rsid w:val="006D7293"/>
    <w:rsid w:val="006E6F9D"/>
    <w:rsid w:val="00710014"/>
    <w:rsid w:val="00732D88"/>
    <w:rsid w:val="00745F66"/>
    <w:rsid w:val="007547AB"/>
    <w:rsid w:val="00762F9A"/>
    <w:rsid w:val="00773861"/>
    <w:rsid w:val="007B25C7"/>
    <w:rsid w:val="007B3BBE"/>
    <w:rsid w:val="007D3739"/>
    <w:rsid w:val="007D5F9F"/>
    <w:rsid w:val="007D72A4"/>
    <w:rsid w:val="007E05DA"/>
    <w:rsid w:val="007E2FE4"/>
    <w:rsid w:val="00803B92"/>
    <w:rsid w:val="00825E8B"/>
    <w:rsid w:val="00836F15"/>
    <w:rsid w:val="008449A5"/>
    <w:rsid w:val="00844AAC"/>
    <w:rsid w:val="008520F8"/>
    <w:rsid w:val="00857C04"/>
    <w:rsid w:val="0087295E"/>
    <w:rsid w:val="008841DB"/>
    <w:rsid w:val="008930CB"/>
    <w:rsid w:val="00895EFD"/>
    <w:rsid w:val="00896AAA"/>
    <w:rsid w:val="008B0615"/>
    <w:rsid w:val="008D65A6"/>
    <w:rsid w:val="008E51CE"/>
    <w:rsid w:val="008F270B"/>
    <w:rsid w:val="008F4817"/>
    <w:rsid w:val="00903D91"/>
    <w:rsid w:val="00916CDE"/>
    <w:rsid w:val="00932B1E"/>
    <w:rsid w:val="0093503A"/>
    <w:rsid w:val="00935379"/>
    <w:rsid w:val="009473CB"/>
    <w:rsid w:val="00953D39"/>
    <w:rsid w:val="009679B8"/>
    <w:rsid w:val="009751BD"/>
    <w:rsid w:val="00981659"/>
    <w:rsid w:val="0098250E"/>
    <w:rsid w:val="00995513"/>
    <w:rsid w:val="009A2F1E"/>
    <w:rsid w:val="009B0563"/>
    <w:rsid w:val="009B1861"/>
    <w:rsid w:val="009B6A5D"/>
    <w:rsid w:val="009B79A9"/>
    <w:rsid w:val="009D5A62"/>
    <w:rsid w:val="009F306A"/>
    <w:rsid w:val="00A00E64"/>
    <w:rsid w:val="00A022BC"/>
    <w:rsid w:val="00A37036"/>
    <w:rsid w:val="00A62344"/>
    <w:rsid w:val="00A806B2"/>
    <w:rsid w:val="00A9234E"/>
    <w:rsid w:val="00AA6DB7"/>
    <w:rsid w:val="00AB70B2"/>
    <w:rsid w:val="00AC4CE2"/>
    <w:rsid w:val="00AD272B"/>
    <w:rsid w:val="00AE4FF6"/>
    <w:rsid w:val="00B070CB"/>
    <w:rsid w:val="00B259A4"/>
    <w:rsid w:val="00B26DE7"/>
    <w:rsid w:val="00B305FB"/>
    <w:rsid w:val="00B32A38"/>
    <w:rsid w:val="00B45CA9"/>
    <w:rsid w:val="00B66A46"/>
    <w:rsid w:val="00B70B0C"/>
    <w:rsid w:val="00BA7ECB"/>
    <w:rsid w:val="00BC1CEF"/>
    <w:rsid w:val="00BD62B5"/>
    <w:rsid w:val="00BE2F2B"/>
    <w:rsid w:val="00C043AB"/>
    <w:rsid w:val="00C12837"/>
    <w:rsid w:val="00C223D3"/>
    <w:rsid w:val="00C408A6"/>
    <w:rsid w:val="00C52504"/>
    <w:rsid w:val="00C62F5D"/>
    <w:rsid w:val="00C84ECA"/>
    <w:rsid w:val="00CC091C"/>
    <w:rsid w:val="00CC1B52"/>
    <w:rsid w:val="00CC552C"/>
    <w:rsid w:val="00CD6F8D"/>
    <w:rsid w:val="00D1281A"/>
    <w:rsid w:val="00D23548"/>
    <w:rsid w:val="00D24130"/>
    <w:rsid w:val="00D50356"/>
    <w:rsid w:val="00D51014"/>
    <w:rsid w:val="00D81DE8"/>
    <w:rsid w:val="00DA1A72"/>
    <w:rsid w:val="00DB10A3"/>
    <w:rsid w:val="00DB39E8"/>
    <w:rsid w:val="00DB6357"/>
    <w:rsid w:val="00DC38A6"/>
    <w:rsid w:val="00DC3D74"/>
    <w:rsid w:val="00DC5796"/>
    <w:rsid w:val="00DD0006"/>
    <w:rsid w:val="00DD31C5"/>
    <w:rsid w:val="00DE3B0D"/>
    <w:rsid w:val="00E01D16"/>
    <w:rsid w:val="00E037CB"/>
    <w:rsid w:val="00E13412"/>
    <w:rsid w:val="00E2206E"/>
    <w:rsid w:val="00E2500E"/>
    <w:rsid w:val="00E34E3A"/>
    <w:rsid w:val="00E507F7"/>
    <w:rsid w:val="00E52499"/>
    <w:rsid w:val="00E72DCD"/>
    <w:rsid w:val="00E94708"/>
    <w:rsid w:val="00EA1489"/>
    <w:rsid w:val="00EC281C"/>
    <w:rsid w:val="00EC48E6"/>
    <w:rsid w:val="00EC6D27"/>
    <w:rsid w:val="00EF71BD"/>
    <w:rsid w:val="00F13EDC"/>
    <w:rsid w:val="00F22FD1"/>
    <w:rsid w:val="00F247C5"/>
    <w:rsid w:val="00F31ECA"/>
    <w:rsid w:val="00F3272C"/>
    <w:rsid w:val="00F37D9A"/>
    <w:rsid w:val="00F508F9"/>
    <w:rsid w:val="00F56693"/>
    <w:rsid w:val="00F72064"/>
    <w:rsid w:val="00F92A22"/>
    <w:rsid w:val="00FB2D1D"/>
    <w:rsid w:val="00FB4FB5"/>
    <w:rsid w:val="00FB7EDD"/>
    <w:rsid w:val="00FC125A"/>
    <w:rsid w:val="00FC294E"/>
    <w:rsid w:val="00FC2DB4"/>
    <w:rsid w:val="00FE39EB"/>
    <w:rsid w:val="00FE709C"/>
    <w:rsid w:val="00FF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65DFE"/>
  <w15:docId w15:val="{7F8B8369-0374-4CE1-BCCF-C6341083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31ECA"/>
    <w:pPr>
      <w:spacing w:after="9" w:line="268" w:lineRule="auto"/>
      <w:ind w:left="10" w:right="11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Virsraksts1">
    <w:name w:val="heading 1"/>
    <w:next w:val="Parasts"/>
    <w:link w:val="Virsraksts1Rakstz"/>
    <w:uiPriority w:val="9"/>
    <w:qFormat/>
    <w:pPr>
      <w:keepNext/>
      <w:keepLines/>
      <w:spacing w:after="14"/>
      <w:ind w:left="10" w:right="109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A806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footnotedescription">
    <w:name w:val="footnote description"/>
    <w:next w:val="Parasts"/>
    <w:link w:val="footnotedescriptionChar"/>
    <w:hidden/>
    <w:pPr>
      <w:spacing w:after="15"/>
      <w:ind w:left="41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Virsraksts1Rakstz">
    <w:name w:val="Virsraksts 1 Rakstz."/>
    <w:link w:val="Virsraksts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B3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32A3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A80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saite">
    <w:name w:val="Hyperlink"/>
    <w:basedOn w:val="Noklusjumarindkopasfonts"/>
    <w:uiPriority w:val="99"/>
    <w:unhideWhenUsed/>
    <w:rsid w:val="001F2DDF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98250E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87295E"/>
    <w:pPr>
      <w:spacing w:after="0" w:line="240" w:lineRule="auto"/>
      <w:ind w:left="0" w:right="0" w:firstLine="0"/>
      <w:jc w:val="center"/>
    </w:pPr>
    <w:rPr>
      <w:b/>
      <w:bCs/>
      <w:color w:val="auto"/>
      <w:sz w:val="24"/>
      <w:szCs w:val="24"/>
      <w:lang w:val="en-GB" w:eastAsia="x-none"/>
    </w:rPr>
  </w:style>
  <w:style w:type="character" w:customStyle="1" w:styleId="NosaukumsRakstz">
    <w:name w:val="Nosaukums Rakstz."/>
    <w:basedOn w:val="Noklusjumarindkopasfonts"/>
    <w:link w:val="Nosaukums"/>
    <w:rsid w:val="0087295E"/>
    <w:rPr>
      <w:rFonts w:ascii="Times New Roman" w:eastAsia="Times New Roman" w:hAnsi="Times New Roman" w:cs="Times New Roman"/>
      <w:b/>
      <w:bCs/>
      <w:sz w:val="24"/>
      <w:szCs w:val="24"/>
      <w:lang w:val="en-GB" w:eastAsia="x-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BC1CEF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C1CEF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C1CE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C1CEF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C1CE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ststmeklis">
    <w:name w:val="Normal (Web)"/>
    <w:basedOn w:val="Parasts"/>
    <w:uiPriority w:val="99"/>
    <w:unhideWhenUsed/>
    <w:rsid w:val="003C212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Galvene">
    <w:name w:val="header"/>
    <w:basedOn w:val="Parasts"/>
    <w:link w:val="GalveneRakstz"/>
    <w:uiPriority w:val="99"/>
    <w:unhideWhenUsed/>
    <w:rsid w:val="00967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679B8"/>
    <w:rPr>
      <w:rFonts w:ascii="Times New Roman" w:eastAsia="Times New Roman" w:hAnsi="Times New Roman" w:cs="Times New Roman"/>
      <w:color w:val="000000"/>
    </w:rPr>
  </w:style>
  <w:style w:type="paragraph" w:styleId="Kjene">
    <w:name w:val="footer"/>
    <w:basedOn w:val="Parasts"/>
    <w:link w:val="KjeneRakstz"/>
    <w:uiPriority w:val="99"/>
    <w:unhideWhenUsed/>
    <w:rsid w:val="00967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679B8"/>
    <w:rPr>
      <w:rFonts w:ascii="Times New Roman" w:eastAsia="Times New Roman" w:hAnsi="Times New Roman" w:cs="Times New Roman"/>
      <w:color w:val="000000"/>
    </w:rPr>
  </w:style>
  <w:style w:type="paragraph" w:styleId="Prskatjums">
    <w:name w:val="Revision"/>
    <w:hidden/>
    <w:uiPriority w:val="99"/>
    <w:semiHidden/>
    <w:rsid w:val="000E2C65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83984-4BAC-4A00-B709-E361713AA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2758</Words>
  <Characters>1573</Characters>
  <Application>Microsoft Office Word</Application>
  <DocSecurity>0</DocSecurity>
  <Lines>13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 GS. Susinina</dc:creator>
  <cp:lastModifiedBy>Dace Tauriņa</cp:lastModifiedBy>
  <cp:revision>5</cp:revision>
  <cp:lastPrinted>2021-03-26T13:25:00Z</cp:lastPrinted>
  <dcterms:created xsi:type="dcterms:W3CDTF">2023-10-12T12:14:00Z</dcterms:created>
  <dcterms:modified xsi:type="dcterms:W3CDTF">2023-10-31T09:04:00Z</dcterms:modified>
</cp:coreProperties>
</file>