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16D5" w14:textId="77777777" w:rsidR="004839DE" w:rsidRPr="004839DE" w:rsidRDefault="004839DE" w:rsidP="004839DE">
      <w:pPr>
        <w:spacing w:after="0" w:line="240" w:lineRule="auto"/>
        <w:jc w:val="right"/>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4</w:t>
      </w:r>
      <w:r w:rsidRPr="004839DE">
        <w:rPr>
          <w:rFonts w:ascii="Times New Roman" w:eastAsia="Times New Roman" w:hAnsi="Times New Roman" w:cs="Times New Roman"/>
          <w:b/>
          <w:sz w:val="24"/>
          <w:szCs w:val="24"/>
          <w:lang w:eastAsia="en-US"/>
        </w:rPr>
        <w:t>.PIELIKUMS</w:t>
      </w:r>
    </w:p>
    <w:p w14:paraId="7E92DBCA" w14:textId="77777777" w:rsidR="004839DE" w:rsidRPr="004839DE" w:rsidRDefault="004839DE" w:rsidP="004839DE">
      <w:pPr>
        <w:spacing w:after="0" w:line="240" w:lineRule="auto"/>
        <w:jc w:val="right"/>
        <w:rPr>
          <w:rFonts w:ascii="Times New Roman" w:eastAsia="Times New Roman" w:hAnsi="Times New Roman" w:cs="Times New Roman"/>
          <w:bCs/>
          <w:sz w:val="24"/>
          <w:szCs w:val="24"/>
        </w:rPr>
      </w:pPr>
      <w:r w:rsidRPr="004839DE">
        <w:rPr>
          <w:rFonts w:ascii="Times New Roman" w:eastAsia="Times New Roman" w:hAnsi="Times New Roman" w:cs="Times New Roman"/>
          <w:sz w:val="24"/>
          <w:szCs w:val="24"/>
        </w:rPr>
        <w:t>Atbalsta programmas</w:t>
      </w:r>
      <w:r w:rsidRPr="004839DE">
        <w:rPr>
          <w:rFonts w:ascii="Times New Roman" w:eastAsia="Times New Roman" w:hAnsi="Times New Roman" w:cs="Times New Roman"/>
          <w:bCs/>
          <w:sz w:val="24"/>
          <w:szCs w:val="24"/>
        </w:rPr>
        <w:t xml:space="preserve"> "Neformālās izglītības pasākumi, </w:t>
      </w:r>
    </w:p>
    <w:p w14:paraId="6306E2AB" w14:textId="77777777" w:rsidR="004839DE" w:rsidRPr="004839DE" w:rsidRDefault="004839DE" w:rsidP="004839DE">
      <w:pPr>
        <w:spacing w:after="0" w:line="240" w:lineRule="auto"/>
        <w:jc w:val="right"/>
        <w:rPr>
          <w:rFonts w:ascii="Times New Roman" w:eastAsia="Times New Roman" w:hAnsi="Times New Roman" w:cs="Times New Roman"/>
          <w:bCs/>
          <w:sz w:val="24"/>
          <w:szCs w:val="24"/>
        </w:rPr>
      </w:pPr>
      <w:r w:rsidRPr="004839DE">
        <w:rPr>
          <w:rFonts w:ascii="Times New Roman" w:eastAsia="Times New Roman" w:hAnsi="Times New Roman" w:cs="Times New Roman"/>
          <w:bCs/>
          <w:sz w:val="24"/>
          <w:szCs w:val="24"/>
        </w:rPr>
        <w:t xml:space="preserve">t.sk. latviešu valodas apguve, Ukrainas bērniem un jauniešiem" </w:t>
      </w:r>
    </w:p>
    <w:p w14:paraId="1A32B7EE" w14:textId="5530E73E" w:rsidR="004839DE" w:rsidRPr="004839DE" w:rsidRDefault="004839DE" w:rsidP="004839DE">
      <w:pPr>
        <w:spacing w:after="0" w:line="240" w:lineRule="auto"/>
        <w:jc w:val="right"/>
        <w:rPr>
          <w:rFonts w:ascii="Times New Roman" w:eastAsia="Times New Roman" w:hAnsi="Times New Roman" w:cs="Times New Roman"/>
          <w:sz w:val="24"/>
          <w:szCs w:val="24"/>
        </w:rPr>
      </w:pPr>
      <w:r w:rsidRPr="004839DE">
        <w:rPr>
          <w:rFonts w:ascii="Times New Roman" w:eastAsia="Times New Roman" w:hAnsi="Times New Roman" w:cs="Times New Roman"/>
          <w:sz w:val="24"/>
          <w:szCs w:val="24"/>
        </w:rPr>
        <w:t xml:space="preserve"> īstenošanas Konkursa </w:t>
      </w:r>
      <w:r w:rsidR="00E42BCB">
        <w:rPr>
          <w:rFonts w:ascii="Times New Roman" w:eastAsia="Times New Roman" w:hAnsi="Times New Roman" w:cs="Times New Roman"/>
          <w:sz w:val="24"/>
          <w:szCs w:val="24"/>
        </w:rPr>
        <w:t>23</w:t>
      </w:r>
      <w:r w:rsidRPr="004839DE">
        <w:rPr>
          <w:rFonts w:ascii="Times New Roman" w:eastAsia="Times New Roman" w:hAnsi="Times New Roman" w:cs="Times New Roman"/>
          <w:sz w:val="24"/>
          <w:szCs w:val="24"/>
        </w:rPr>
        <w:t>.05.2024. Nolikumam</w:t>
      </w:r>
    </w:p>
    <w:p w14:paraId="26C6D7F7" w14:textId="77777777" w:rsidR="00F619C7" w:rsidRDefault="00F619C7">
      <w:pPr>
        <w:spacing w:after="0" w:line="240" w:lineRule="auto"/>
        <w:jc w:val="center"/>
        <w:rPr>
          <w:rFonts w:ascii="Times New Roman" w:eastAsia="Times New Roman" w:hAnsi="Times New Roman" w:cs="Times New Roman"/>
          <w:b/>
          <w:sz w:val="24"/>
          <w:szCs w:val="24"/>
        </w:rPr>
      </w:pPr>
    </w:p>
    <w:p w14:paraId="3557E28B" w14:textId="77777777" w:rsidR="00F619C7" w:rsidRDefault="004839D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PIETEIKUMU IZVĒRTĒŠANAS KRITĒRIJI</w:t>
      </w:r>
    </w:p>
    <w:p w14:paraId="079AB0BD" w14:textId="77777777" w:rsidR="00F619C7" w:rsidRDefault="00F619C7">
      <w:pPr>
        <w:spacing w:after="0" w:line="240" w:lineRule="auto"/>
        <w:jc w:val="center"/>
        <w:rPr>
          <w:rFonts w:ascii="Times New Roman" w:eastAsia="Times New Roman" w:hAnsi="Times New Roman" w:cs="Times New Roman"/>
          <w:b/>
          <w:sz w:val="24"/>
          <w:szCs w:val="24"/>
        </w:rPr>
      </w:pPr>
    </w:p>
    <w:tbl>
      <w:tblPr>
        <w:tblStyle w:val="a"/>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6"/>
        <w:gridCol w:w="2013"/>
        <w:gridCol w:w="4569"/>
        <w:gridCol w:w="1057"/>
      </w:tblGrid>
      <w:tr w:rsidR="00F619C7" w14:paraId="7D664117" w14:textId="77777777">
        <w:tc>
          <w:tcPr>
            <w:tcW w:w="1116" w:type="dxa"/>
          </w:tcPr>
          <w:p w14:paraId="547AE5A7"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N.p.k.</w:t>
            </w:r>
          </w:p>
        </w:tc>
        <w:tc>
          <w:tcPr>
            <w:tcW w:w="2013" w:type="dxa"/>
          </w:tcPr>
          <w:p w14:paraId="09C90AD8"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Kritērija nosaukums</w:t>
            </w:r>
          </w:p>
        </w:tc>
        <w:tc>
          <w:tcPr>
            <w:tcW w:w="4569" w:type="dxa"/>
          </w:tcPr>
          <w:p w14:paraId="00B1A56A" w14:textId="77777777" w:rsidR="00F619C7" w:rsidRDefault="00F619C7">
            <w:pPr>
              <w:spacing w:after="0" w:line="240" w:lineRule="auto"/>
              <w:rPr>
                <w:rFonts w:ascii="Times New Roman" w:eastAsia="Times New Roman" w:hAnsi="Times New Roman" w:cs="Times New Roman"/>
                <w:sz w:val="24"/>
                <w:szCs w:val="24"/>
              </w:rPr>
            </w:pPr>
          </w:p>
        </w:tc>
        <w:tc>
          <w:tcPr>
            <w:tcW w:w="1057" w:type="dxa"/>
          </w:tcPr>
          <w:p w14:paraId="3A2375AD"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Punkti</w:t>
            </w:r>
          </w:p>
        </w:tc>
      </w:tr>
      <w:tr w:rsidR="00F619C7" w14:paraId="11979AD6" w14:textId="77777777">
        <w:tc>
          <w:tcPr>
            <w:tcW w:w="1116" w:type="dxa"/>
            <w:vMerge w:val="restart"/>
          </w:tcPr>
          <w:p w14:paraId="56DC1374" w14:textId="77777777" w:rsidR="00F619C7" w:rsidRDefault="00F619C7">
            <w:pPr>
              <w:numPr>
                <w:ilvl w:val="0"/>
                <w:numId w:val="1"/>
              </w:numPr>
              <w:spacing w:after="0" w:line="240" w:lineRule="auto"/>
              <w:rPr>
                <w:rFonts w:ascii="Times New Roman" w:eastAsia="Times New Roman" w:hAnsi="Times New Roman" w:cs="Times New Roman"/>
                <w:sz w:val="24"/>
                <w:szCs w:val="24"/>
              </w:rPr>
            </w:pPr>
          </w:p>
        </w:tc>
        <w:tc>
          <w:tcPr>
            <w:tcW w:w="2013" w:type="dxa"/>
            <w:vMerge w:val="restart"/>
          </w:tcPr>
          <w:p w14:paraId="53E32BF8"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atbilstība Konkursa mērķim</w:t>
            </w:r>
          </w:p>
        </w:tc>
        <w:tc>
          <w:tcPr>
            <w:tcW w:w="4569" w:type="dxa"/>
          </w:tcPr>
          <w:p w14:paraId="4D1AB956"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Pieteikums pilnībā atbilst mērķim un uzdevumiem, ir detalizēti izklāstīts. Atbalsta programmas īstenošana sekmēs bērnu un jauniešu vispusīgu attīstību, atbilst bērnu un jauniešu interesēm un vajadzībām, projekta mērķauditorijas vecuma īpatnībām. </w:t>
            </w:r>
          </w:p>
        </w:tc>
        <w:tc>
          <w:tcPr>
            <w:tcW w:w="1057" w:type="dxa"/>
          </w:tcPr>
          <w:p w14:paraId="1544F5D5"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19C7" w14:paraId="515E2B30" w14:textId="77777777">
        <w:tc>
          <w:tcPr>
            <w:tcW w:w="1116" w:type="dxa"/>
            <w:vMerge/>
          </w:tcPr>
          <w:p w14:paraId="001BCEE6"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45DD0826"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tcPr>
          <w:p w14:paraId="4B8E754B"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formāli atbilst Konkursa mērķim un uzdevumiem.</w:t>
            </w:r>
          </w:p>
        </w:tc>
        <w:tc>
          <w:tcPr>
            <w:tcW w:w="1057" w:type="dxa"/>
          </w:tcPr>
          <w:p w14:paraId="33369E28"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04B88EE9" w14:textId="77777777">
        <w:tc>
          <w:tcPr>
            <w:tcW w:w="1116" w:type="dxa"/>
            <w:vMerge/>
          </w:tcPr>
          <w:p w14:paraId="24ABB54B"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6A56C474"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tcPr>
          <w:p w14:paraId="1DBB778D"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neatbilst mērķim un uzdevumiem.</w:t>
            </w:r>
          </w:p>
        </w:tc>
        <w:tc>
          <w:tcPr>
            <w:tcW w:w="1057" w:type="dxa"/>
          </w:tcPr>
          <w:p w14:paraId="3BE614CB"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619C7" w14:paraId="4374707F" w14:textId="77777777">
        <w:tc>
          <w:tcPr>
            <w:tcW w:w="1116" w:type="dxa"/>
            <w:vMerge w:val="restart"/>
          </w:tcPr>
          <w:p w14:paraId="374F27FC" w14:textId="77777777" w:rsidR="00F619C7" w:rsidRDefault="00F619C7">
            <w:pPr>
              <w:numPr>
                <w:ilvl w:val="0"/>
                <w:numId w:val="1"/>
              </w:numPr>
              <w:spacing w:after="0" w:line="240" w:lineRule="auto"/>
              <w:rPr>
                <w:rFonts w:ascii="Times New Roman" w:eastAsia="Times New Roman" w:hAnsi="Times New Roman" w:cs="Times New Roman"/>
                <w:sz w:val="24"/>
                <w:szCs w:val="24"/>
              </w:rPr>
            </w:pPr>
          </w:p>
        </w:tc>
        <w:tc>
          <w:tcPr>
            <w:tcW w:w="2013" w:type="dxa"/>
            <w:vMerge w:val="restart"/>
          </w:tcPr>
          <w:p w14:paraId="72BDAFE2" w14:textId="77777777" w:rsidR="00F619C7" w:rsidRDefault="004839DE">
            <w:pPr>
              <w:spacing w:after="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Atbalsta programmas  saturs tematiski veidots atbalsta sniegšanai </w:t>
            </w:r>
          </w:p>
          <w:p w14:paraId="721159EC"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EB3B76F" w14:textId="77777777" w:rsidR="00F619C7" w:rsidRDefault="00F619C7">
            <w:pPr>
              <w:spacing w:after="0" w:line="240" w:lineRule="auto"/>
              <w:rPr>
                <w:rFonts w:ascii="Times New Roman" w:eastAsia="Times New Roman" w:hAnsi="Times New Roman" w:cs="Times New Roman"/>
                <w:i/>
                <w:sz w:val="24"/>
                <w:szCs w:val="24"/>
              </w:rPr>
            </w:pPr>
          </w:p>
        </w:tc>
        <w:tc>
          <w:tcPr>
            <w:tcW w:w="4569" w:type="dxa"/>
          </w:tcPr>
          <w:p w14:paraId="6F90EB2C" w14:textId="77777777" w:rsidR="00F619C7" w:rsidRDefault="004839DE">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plānotās aktivitātes ir vērstas uz atbalsta sniegšanu ukraiņu bērniem un jauniešiem latviešu valodas valodas prasmju apgūšanu (aktivitātes šim mērķim – ne mazāk kā puse no kopējo pasākumu skaita),viņu dzimtās  valodas, tradīciju un kultūras vērtību saglabāšanai un praktizēšanai, lai mazinātu bērnu un jauniešu psihoemocionālo spriedzi un uzturētu kopības saites ar ukraiņu kopienu Latvijā. Tās sekmē  Latvijas dabas un kultūrtelpas iepazīšanu, lai veiksmīgāk iekļautos Latvijas sabiedrībā, īpaši Limbažu novada kopienā.</w:t>
            </w:r>
          </w:p>
        </w:tc>
        <w:tc>
          <w:tcPr>
            <w:tcW w:w="1057" w:type="dxa"/>
          </w:tcPr>
          <w:p w14:paraId="259AECA0"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19C7" w14:paraId="331ADBF8" w14:textId="77777777">
        <w:tc>
          <w:tcPr>
            <w:tcW w:w="1116" w:type="dxa"/>
            <w:vMerge/>
          </w:tcPr>
          <w:p w14:paraId="650C7EB8"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2B6636BB"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tcPr>
          <w:p w14:paraId="0B4E6E44"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paredzētās  aktivitātes veicina bērnu un jauniešu izaugsmi, tomēr nav fokusētas uz latviešu valodas radošu apguvi, traumatiskās pieredzes seku mazināšanu  un integrēšanos Latvijas kultūras telpā.</w:t>
            </w:r>
          </w:p>
        </w:tc>
        <w:tc>
          <w:tcPr>
            <w:tcW w:w="1057" w:type="dxa"/>
          </w:tcPr>
          <w:p w14:paraId="5AE8E15F"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6783C590" w14:textId="77777777">
        <w:tc>
          <w:tcPr>
            <w:tcW w:w="1116" w:type="dxa"/>
            <w:vMerge/>
          </w:tcPr>
          <w:p w14:paraId="2875867F"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tcPr>
          <w:p w14:paraId="3FB581F7"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tcPr>
          <w:p w14:paraId="3147B3AD"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plānotā Atbalsta programmas  īstenošana nesniedz nepieciešamo atbalstu .</w:t>
            </w:r>
          </w:p>
        </w:tc>
        <w:tc>
          <w:tcPr>
            <w:tcW w:w="1057" w:type="dxa"/>
          </w:tcPr>
          <w:p w14:paraId="26C4D09C"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619C7" w14:paraId="38C36475" w14:textId="77777777">
        <w:tc>
          <w:tcPr>
            <w:tcW w:w="1116" w:type="dxa"/>
            <w:vMerge w:val="restart"/>
          </w:tcPr>
          <w:p w14:paraId="453F1DCC" w14:textId="77777777" w:rsidR="00F619C7" w:rsidRDefault="00F619C7">
            <w:pPr>
              <w:numPr>
                <w:ilvl w:val="0"/>
                <w:numId w:val="1"/>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2166F7F3"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Darba formu un metožu daudzveidība, inovācija un radoša pieeja</w:t>
            </w:r>
          </w:p>
        </w:tc>
        <w:tc>
          <w:tcPr>
            <w:tcW w:w="4569" w:type="dxa"/>
            <w:shd w:val="clear" w:color="auto" w:fill="FFFFFF"/>
          </w:tcPr>
          <w:p w14:paraId="0642DAC8"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Atbalsta programmas  Pieteikumā   ir paredzētas daudzpusīgas  darbības formas, piemēram, valodas mācīšanās un/vai neformālās/interešu izglītības nodarbības, radošās darbnīcas, saliedēšanās pasākumi, ekskursijas, āra aktivitātes, talkas, muzeja/ kultūras pasākuma apmeklējumi u.c. iespējas,  akcentējot interaktīvas sadarbības  metodes. </w:t>
            </w:r>
          </w:p>
        </w:tc>
        <w:tc>
          <w:tcPr>
            <w:tcW w:w="1057" w:type="dxa"/>
          </w:tcPr>
          <w:p w14:paraId="4DCFD24B"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19C7" w14:paraId="3276C12A" w14:textId="77777777">
        <w:tc>
          <w:tcPr>
            <w:tcW w:w="1116" w:type="dxa"/>
            <w:vMerge/>
          </w:tcPr>
          <w:p w14:paraId="3AF1B4D8"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65B3A23A"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37636A28"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ir daudzpusīgs, tomēr tajā nav paredzētas radošas darba formas, nav plānota metožu dažādība.</w:t>
            </w:r>
          </w:p>
        </w:tc>
        <w:tc>
          <w:tcPr>
            <w:tcW w:w="1057" w:type="dxa"/>
          </w:tcPr>
          <w:p w14:paraId="7BEC4743"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63A57B81" w14:textId="77777777">
        <w:tc>
          <w:tcPr>
            <w:tcW w:w="1116" w:type="dxa"/>
            <w:vMerge/>
          </w:tcPr>
          <w:p w14:paraId="10DD2A6C"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0FB133A0"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1C16320E"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Atbalsta programma ir vienveidīga, plānota tikai pasākumu apmeklēšana, tajā trūkst radošuma, nav plānota  jaunu metožu pielietošana. Nav akcentēta latviešu valodas apguve.</w:t>
            </w:r>
          </w:p>
        </w:tc>
        <w:tc>
          <w:tcPr>
            <w:tcW w:w="1057" w:type="dxa"/>
          </w:tcPr>
          <w:p w14:paraId="1A8B0E04"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619C7" w14:paraId="00E90CA8" w14:textId="77777777">
        <w:tc>
          <w:tcPr>
            <w:tcW w:w="1116" w:type="dxa"/>
            <w:vMerge w:val="restart"/>
          </w:tcPr>
          <w:p w14:paraId="5E7FEBB6" w14:textId="77777777" w:rsidR="00F619C7" w:rsidRDefault="00F619C7">
            <w:pPr>
              <w:numPr>
                <w:ilvl w:val="0"/>
                <w:numId w:val="1"/>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6C829BE0"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Materiāli tehniskās bāzes nodrošinājums un aktivitāšu grafika atbilstība mērķa grupas iespējām </w:t>
            </w:r>
          </w:p>
        </w:tc>
        <w:tc>
          <w:tcPr>
            <w:tcW w:w="4569" w:type="dxa"/>
            <w:shd w:val="clear" w:color="auto" w:fill="FFFFFF"/>
          </w:tcPr>
          <w:p w14:paraId="69A2DCC1"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ir labs materiāli tehniskās bāzes nodrošinājums, tā atbilst plānotajam mācību/radošo nodarbību  saturam, ir priekšnoteikumi atbilstošiem sadzīves apstākļiem un sanitārajām normām. Ir sabalansēts aktivitāšu grafiks.</w:t>
            </w:r>
          </w:p>
        </w:tc>
        <w:tc>
          <w:tcPr>
            <w:tcW w:w="1057" w:type="dxa"/>
          </w:tcPr>
          <w:p w14:paraId="27FBC609"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19C7" w14:paraId="70B4C09E" w14:textId="77777777">
        <w:tc>
          <w:tcPr>
            <w:tcW w:w="1116" w:type="dxa"/>
            <w:vMerge/>
          </w:tcPr>
          <w:p w14:paraId="07974427"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511E4BB5"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124B454C"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programmas  materiāli tehniskais nodrošinājums ir daļējs, aktivitāšu grafiks nav pietiekami sabalansēts ar citām mērķa grupas nodarbēm.</w:t>
            </w:r>
          </w:p>
        </w:tc>
        <w:tc>
          <w:tcPr>
            <w:tcW w:w="1057" w:type="dxa"/>
          </w:tcPr>
          <w:p w14:paraId="6CAE2B01"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6EEB4010" w14:textId="77777777">
        <w:tc>
          <w:tcPr>
            <w:tcW w:w="1116" w:type="dxa"/>
            <w:vMerge/>
          </w:tcPr>
          <w:p w14:paraId="614E65F5"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17AA4BE3"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7B2DFBCF"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programmas īstenošanai  ir nepietiekams materiāli tehniskais nodrošinājums, nepārdomāts aktivitāšu laiks.</w:t>
            </w:r>
          </w:p>
        </w:tc>
        <w:tc>
          <w:tcPr>
            <w:tcW w:w="1057" w:type="dxa"/>
          </w:tcPr>
          <w:p w14:paraId="2E2224D1"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619C7" w14:paraId="1363997E" w14:textId="77777777">
        <w:tc>
          <w:tcPr>
            <w:tcW w:w="1116" w:type="dxa"/>
            <w:vMerge w:val="restart"/>
          </w:tcPr>
          <w:p w14:paraId="5205935B" w14:textId="77777777" w:rsidR="00F619C7" w:rsidRDefault="00F619C7">
            <w:pPr>
              <w:numPr>
                <w:ilvl w:val="0"/>
                <w:numId w:val="1"/>
              </w:numPr>
              <w:spacing w:after="0" w:line="240" w:lineRule="auto"/>
              <w:rPr>
                <w:rFonts w:ascii="Times New Roman" w:eastAsia="Times New Roman" w:hAnsi="Times New Roman" w:cs="Times New Roman"/>
                <w:sz w:val="24"/>
                <w:szCs w:val="24"/>
              </w:rPr>
            </w:pPr>
          </w:p>
        </w:tc>
        <w:tc>
          <w:tcPr>
            <w:tcW w:w="2013" w:type="dxa"/>
            <w:vMerge w:val="restart"/>
            <w:shd w:val="clear" w:color="auto" w:fill="FFFFFF"/>
          </w:tcPr>
          <w:p w14:paraId="3AF2F97A"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izstrādes kvalitāte, atbilstība Konkursa Nolikumā minētajiem nosacījumiem  un kritērijiem.</w:t>
            </w:r>
          </w:p>
        </w:tc>
        <w:tc>
          <w:tcPr>
            <w:tcW w:w="4569" w:type="dxa"/>
            <w:shd w:val="clear" w:color="auto" w:fill="FFFFFF"/>
          </w:tcPr>
          <w:p w14:paraId="16599AFC"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ir kvalitatīvi izstrādāts, ievērojot programmas izveides nosacījumus un Nolikumā noteikto finanšu aprēķinu.</w:t>
            </w:r>
          </w:p>
        </w:tc>
        <w:tc>
          <w:tcPr>
            <w:tcW w:w="1057" w:type="dxa"/>
          </w:tcPr>
          <w:p w14:paraId="069B6AF9"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r>
      <w:tr w:rsidR="00F619C7" w14:paraId="4B1B81C7" w14:textId="77777777">
        <w:tc>
          <w:tcPr>
            <w:tcW w:w="1116" w:type="dxa"/>
            <w:vMerge/>
          </w:tcPr>
          <w:p w14:paraId="6F0431BD"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0EF51DFE"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6C8C5656"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ir kvalitatīvi izstrādāts, bet ir atsevišķas nepilnības.</w:t>
            </w:r>
          </w:p>
        </w:tc>
        <w:tc>
          <w:tcPr>
            <w:tcW w:w="1057" w:type="dxa"/>
          </w:tcPr>
          <w:p w14:paraId="5ED922DE"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340B1F05" w14:textId="77777777">
        <w:tc>
          <w:tcPr>
            <w:tcW w:w="1116" w:type="dxa"/>
            <w:vMerge/>
          </w:tcPr>
          <w:p w14:paraId="794E950B"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56B8BA76"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07D61743"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Pieteikums  nav kvalitatīvs.</w:t>
            </w:r>
          </w:p>
        </w:tc>
        <w:tc>
          <w:tcPr>
            <w:tcW w:w="1057" w:type="dxa"/>
          </w:tcPr>
          <w:p w14:paraId="3B472960"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F619C7" w14:paraId="6B6D26DD" w14:textId="77777777">
        <w:tc>
          <w:tcPr>
            <w:tcW w:w="1116" w:type="dxa"/>
            <w:vMerge w:val="restart"/>
          </w:tcPr>
          <w:p w14:paraId="29B1BFCF" w14:textId="77777777" w:rsidR="00F619C7" w:rsidRDefault="004839D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13" w:type="dxa"/>
            <w:vMerge w:val="restart"/>
            <w:shd w:val="clear" w:color="auto" w:fill="FFFFFF"/>
          </w:tcPr>
          <w:p w14:paraId="23183C7F"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budžeta  tāmes detalizācija, precizitāte, izmaksu pamatotība un atbilstība plānotajiem Atbalsta programmas rezultātiem.</w:t>
            </w:r>
          </w:p>
        </w:tc>
        <w:tc>
          <w:tcPr>
            <w:tcW w:w="4569" w:type="dxa"/>
            <w:shd w:val="clear" w:color="auto" w:fill="FFFFFF"/>
          </w:tcPr>
          <w:p w14:paraId="73D594DF"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Pieteikuma Budžeta  izmaksas ir pilnībā pamatotas.</w:t>
            </w:r>
          </w:p>
        </w:tc>
        <w:tc>
          <w:tcPr>
            <w:tcW w:w="1057" w:type="dxa"/>
          </w:tcPr>
          <w:p w14:paraId="63BD2CD1"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F619C7" w14:paraId="67A332FC" w14:textId="77777777">
        <w:tc>
          <w:tcPr>
            <w:tcW w:w="1116" w:type="dxa"/>
            <w:vMerge/>
          </w:tcPr>
          <w:p w14:paraId="5578DD6D"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18D3833B"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055E1FBE"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Pieteikumā paredzētās  izmaksas ir daļēji pamatotas, ir nepieciešama izmaksu pozīciju korekcija.</w:t>
            </w:r>
          </w:p>
        </w:tc>
        <w:tc>
          <w:tcPr>
            <w:tcW w:w="1057" w:type="dxa"/>
          </w:tcPr>
          <w:p w14:paraId="06F45D12"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619C7" w14:paraId="786619AD" w14:textId="77777777">
        <w:tc>
          <w:tcPr>
            <w:tcW w:w="1116" w:type="dxa"/>
            <w:vMerge/>
          </w:tcPr>
          <w:p w14:paraId="7AE7D744"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2013" w:type="dxa"/>
            <w:vMerge/>
            <w:shd w:val="clear" w:color="auto" w:fill="FFFFFF"/>
          </w:tcPr>
          <w:p w14:paraId="2B3A5739" w14:textId="77777777" w:rsidR="00F619C7" w:rsidRDefault="00F619C7">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4569" w:type="dxa"/>
            <w:shd w:val="clear" w:color="auto" w:fill="FFFFFF"/>
          </w:tcPr>
          <w:p w14:paraId="7830E192" w14:textId="77777777" w:rsidR="00F619C7" w:rsidRDefault="004839D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Budžeta tāmē  izmaksas nav pamatotas. Paredzēts veikt aktivitātes vai iegādāties materiālus, kas neatbilst Konkursa mērķim.</w:t>
            </w:r>
          </w:p>
        </w:tc>
        <w:tc>
          <w:tcPr>
            <w:tcW w:w="1057" w:type="dxa"/>
          </w:tcPr>
          <w:p w14:paraId="064AA344" w14:textId="77777777" w:rsidR="00F619C7" w:rsidRDefault="004839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7FF407F7" w14:textId="77777777" w:rsidR="00F619C7" w:rsidRDefault="00F619C7"/>
    <w:sectPr w:rsidR="00F619C7" w:rsidSect="004839DE">
      <w:headerReference w:type="default" r:id="rId8"/>
      <w:headerReference w:type="first" r:id="rId9"/>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AF94F" w14:textId="77777777" w:rsidR="00B70A1D" w:rsidRDefault="00B70A1D">
      <w:pPr>
        <w:spacing w:after="0" w:line="240" w:lineRule="auto"/>
      </w:pPr>
      <w:r>
        <w:separator/>
      </w:r>
    </w:p>
  </w:endnote>
  <w:endnote w:type="continuationSeparator" w:id="0">
    <w:p w14:paraId="181A7585" w14:textId="77777777" w:rsidR="00B70A1D" w:rsidRDefault="00B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D2527" w14:textId="77777777" w:rsidR="00B70A1D" w:rsidRDefault="00B70A1D">
      <w:pPr>
        <w:spacing w:after="0" w:line="240" w:lineRule="auto"/>
      </w:pPr>
      <w:r>
        <w:separator/>
      </w:r>
    </w:p>
  </w:footnote>
  <w:footnote w:type="continuationSeparator" w:id="0">
    <w:p w14:paraId="110DE4EC" w14:textId="77777777" w:rsidR="00B70A1D" w:rsidRDefault="00B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983389"/>
      <w:docPartObj>
        <w:docPartGallery w:val="Page Numbers (Top of Page)"/>
        <w:docPartUnique/>
      </w:docPartObj>
    </w:sdtPr>
    <w:sdtEndPr>
      <w:rPr>
        <w:rFonts w:ascii="Times New Roman" w:hAnsi="Times New Roman" w:cs="Times New Roman"/>
        <w:sz w:val="24"/>
        <w:szCs w:val="24"/>
      </w:rPr>
    </w:sdtEndPr>
    <w:sdtContent>
      <w:p w14:paraId="0FEFC1F4" w14:textId="77777777" w:rsidR="004839DE" w:rsidRPr="004839DE" w:rsidRDefault="004839DE">
        <w:pPr>
          <w:pStyle w:val="Galvene"/>
          <w:jc w:val="center"/>
          <w:rPr>
            <w:rFonts w:ascii="Times New Roman" w:hAnsi="Times New Roman" w:cs="Times New Roman"/>
            <w:sz w:val="24"/>
            <w:szCs w:val="24"/>
          </w:rPr>
        </w:pPr>
        <w:r w:rsidRPr="004839DE">
          <w:rPr>
            <w:rFonts w:ascii="Times New Roman" w:hAnsi="Times New Roman" w:cs="Times New Roman"/>
            <w:sz w:val="24"/>
            <w:szCs w:val="24"/>
          </w:rPr>
          <w:fldChar w:fldCharType="begin"/>
        </w:r>
        <w:r w:rsidRPr="004839DE">
          <w:rPr>
            <w:rFonts w:ascii="Times New Roman" w:hAnsi="Times New Roman" w:cs="Times New Roman"/>
            <w:sz w:val="24"/>
            <w:szCs w:val="24"/>
          </w:rPr>
          <w:instrText>PAGE   \* MERGEFORMAT</w:instrText>
        </w:r>
        <w:r w:rsidRPr="004839DE">
          <w:rPr>
            <w:rFonts w:ascii="Times New Roman" w:hAnsi="Times New Roman" w:cs="Times New Roman"/>
            <w:sz w:val="24"/>
            <w:szCs w:val="24"/>
          </w:rPr>
          <w:fldChar w:fldCharType="separate"/>
        </w:r>
        <w:r>
          <w:rPr>
            <w:rFonts w:ascii="Times New Roman" w:hAnsi="Times New Roman" w:cs="Times New Roman"/>
            <w:noProof/>
            <w:sz w:val="24"/>
            <w:szCs w:val="24"/>
          </w:rPr>
          <w:t>2</w:t>
        </w:r>
        <w:r w:rsidRPr="004839DE">
          <w:rPr>
            <w:rFonts w:ascii="Times New Roman" w:hAnsi="Times New Roman" w:cs="Times New Roman"/>
            <w:sz w:val="24"/>
            <w:szCs w:val="24"/>
          </w:rPr>
          <w:fldChar w:fldCharType="end"/>
        </w:r>
      </w:p>
    </w:sdtContent>
  </w:sdt>
  <w:p w14:paraId="7BF0671B" w14:textId="77777777" w:rsidR="00F619C7" w:rsidRDefault="00F619C7">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0281368"/>
      <w:docPartObj>
        <w:docPartGallery w:val="Page Numbers (Top of Page)"/>
        <w:docPartUnique/>
      </w:docPartObj>
    </w:sdtPr>
    <w:sdtEndPr/>
    <w:sdtContent>
      <w:p w14:paraId="1EA70AD5" w14:textId="77777777" w:rsidR="004839DE" w:rsidRDefault="00E42BCB">
        <w:pPr>
          <w:pStyle w:val="Galvene"/>
          <w:jc w:val="center"/>
        </w:pPr>
      </w:p>
    </w:sdtContent>
  </w:sdt>
  <w:p w14:paraId="09576127" w14:textId="77777777" w:rsidR="004839DE" w:rsidRDefault="004839D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B03C4F"/>
    <w:multiLevelType w:val="multilevel"/>
    <w:tmpl w:val="DD28D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910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9C7"/>
    <w:rsid w:val="004839DE"/>
    <w:rsid w:val="008C2D96"/>
    <w:rsid w:val="00B70A1D"/>
    <w:rsid w:val="00BD506E"/>
    <w:rsid w:val="00E42BCB"/>
    <w:rsid w:val="00F619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52C8"/>
  <w15:docId w15:val="{29462169-5879-4D14-838D-01631E4A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043F"/>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Galvene">
    <w:name w:val="header"/>
    <w:basedOn w:val="Parasts"/>
    <w:link w:val="GalveneRakstz"/>
    <w:uiPriority w:val="99"/>
    <w:unhideWhenUsed/>
    <w:rsid w:val="004D02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02CA"/>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4771B5"/>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4771B5"/>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style>
  <w:style w:type="paragraph" w:styleId="Kjene">
    <w:name w:val="footer"/>
    <w:basedOn w:val="Parasts"/>
    <w:link w:val="KjeneRakstz"/>
    <w:uiPriority w:val="99"/>
    <w:unhideWhenUsed/>
    <w:rsid w:val="004839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83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Vl9IOG3o+G8PfY9mookdJpw7uQ==">CgMxLjAyCGguZ2pkZ3hzOAByITE5UmcxNTNlb0U2N1NGOGpmQktCZWhOeGJUazAzaks3Zg==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Vaira</dc:creator>
  <cp:lastModifiedBy>Santa Čingule</cp:lastModifiedBy>
  <cp:revision>4</cp:revision>
  <dcterms:created xsi:type="dcterms:W3CDTF">2024-05-02T08:03:00Z</dcterms:created>
  <dcterms:modified xsi:type="dcterms:W3CDTF">2024-05-28T14:27:00Z</dcterms:modified>
</cp:coreProperties>
</file>