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5D8" w:rsidRPr="00BC56C7" w:rsidRDefault="00DF15D8" w:rsidP="00DF15D8">
      <w:pPr>
        <w:snapToGrid w:val="0"/>
        <w:jc w:val="center"/>
        <w:rPr>
          <w:b/>
        </w:rPr>
      </w:pPr>
      <w:r w:rsidRPr="00BC56C7">
        <w:t>Limbažos</w:t>
      </w:r>
    </w:p>
    <w:p w:rsidR="00DF15D8" w:rsidRPr="005976F2" w:rsidRDefault="00DF15D8" w:rsidP="008931BC">
      <w:pPr>
        <w:contextualSpacing/>
        <w:rPr>
          <w:rFonts w:eastAsia="Calibri"/>
          <w:b/>
          <w:caps/>
          <w:sz w:val="16"/>
          <w:szCs w:val="16"/>
        </w:rPr>
      </w:pPr>
    </w:p>
    <w:p w:rsidR="00DF15D8" w:rsidRPr="00BC56C7" w:rsidRDefault="00DF15D8" w:rsidP="00DF15D8">
      <w:pPr>
        <w:ind w:left="550" w:hanging="323"/>
        <w:contextualSpacing/>
        <w:jc w:val="center"/>
        <w:rPr>
          <w:rFonts w:eastAsia="Calibri"/>
          <w:b/>
          <w:caps/>
        </w:rPr>
      </w:pPr>
      <w:r w:rsidRPr="00BC56C7">
        <w:rPr>
          <w:rFonts w:eastAsia="Calibri"/>
          <w:b/>
          <w:caps/>
        </w:rPr>
        <w:t>Paskaidrojuma raksts</w:t>
      </w:r>
    </w:p>
    <w:p w:rsidR="008931BC" w:rsidRPr="005976F2" w:rsidRDefault="008931BC" w:rsidP="00DF15D8">
      <w:pPr>
        <w:jc w:val="center"/>
        <w:rPr>
          <w:rFonts w:eastAsia="Calibri"/>
          <w:b/>
        </w:rPr>
      </w:pPr>
      <w:r w:rsidRPr="005976F2">
        <w:rPr>
          <w:b/>
        </w:rPr>
        <w:t xml:space="preserve">2016.gada 25.februāra </w:t>
      </w:r>
      <w:r w:rsidR="00DF15D8" w:rsidRPr="005976F2">
        <w:rPr>
          <w:rFonts w:eastAsia="Calibri"/>
          <w:b/>
        </w:rPr>
        <w:t xml:space="preserve">saistošajiem noteikumiem </w:t>
      </w:r>
      <w:r w:rsidRPr="005976F2">
        <w:rPr>
          <w:rFonts w:eastAsia="Calibri"/>
          <w:b/>
        </w:rPr>
        <w:t xml:space="preserve">Nr.11 </w:t>
      </w:r>
    </w:p>
    <w:p w:rsidR="00DF15D8" w:rsidRPr="005976F2" w:rsidRDefault="00DF15D8" w:rsidP="00DF15D8">
      <w:pPr>
        <w:jc w:val="center"/>
        <w:rPr>
          <w:rFonts w:eastAsia="Calibri"/>
          <w:b/>
        </w:rPr>
      </w:pPr>
      <w:r w:rsidRPr="005976F2">
        <w:rPr>
          <w:rFonts w:eastAsia="Calibri"/>
          <w:b/>
        </w:rPr>
        <w:t xml:space="preserve">„Grozījums Limbažu novada pašvaldības </w:t>
      </w:r>
      <w:r w:rsidR="008931BC" w:rsidRPr="005976F2">
        <w:rPr>
          <w:rFonts w:eastAsia="Calibri"/>
          <w:b/>
          <w:bCs/>
        </w:rPr>
        <w:t>2014.gada 27.februāra</w:t>
      </w:r>
    </w:p>
    <w:p w:rsidR="00DF15D8" w:rsidRPr="005976F2" w:rsidRDefault="00DF15D8" w:rsidP="00DF15D8">
      <w:pPr>
        <w:jc w:val="center"/>
        <w:rPr>
          <w:rFonts w:eastAsia="Calibri"/>
          <w:b/>
          <w:bCs/>
        </w:rPr>
      </w:pPr>
      <w:r w:rsidRPr="005976F2">
        <w:rPr>
          <w:rFonts w:eastAsia="Calibri"/>
          <w:b/>
          <w:bCs/>
        </w:rPr>
        <w:t xml:space="preserve">saistošajos noteikumos Nr.10 </w:t>
      </w:r>
      <w:r w:rsidR="008931BC" w:rsidRPr="005976F2">
        <w:rPr>
          <w:rFonts w:eastAsia="Calibri"/>
          <w:b/>
          <w:bCs/>
        </w:rPr>
        <w:t>„Par Limbažu novada pašvaldības līdzfinansējuma apjomu</w:t>
      </w:r>
    </w:p>
    <w:p w:rsidR="008931BC" w:rsidRPr="005976F2" w:rsidRDefault="00DF15D8" w:rsidP="00DF15D8">
      <w:pPr>
        <w:jc w:val="center"/>
        <w:rPr>
          <w:rFonts w:eastAsia="Calibri"/>
          <w:b/>
          <w:bCs/>
        </w:rPr>
      </w:pPr>
      <w:r w:rsidRPr="005976F2">
        <w:rPr>
          <w:rFonts w:eastAsia="Calibri"/>
          <w:b/>
          <w:bCs/>
        </w:rPr>
        <w:t xml:space="preserve">un tā piešķiršanas kārtību daudzdzīvokļu dzīvojamo </w:t>
      </w:r>
      <w:r w:rsidR="008931BC" w:rsidRPr="005976F2">
        <w:rPr>
          <w:rFonts w:eastAsia="Calibri"/>
          <w:b/>
          <w:bCs/>
        </w:rPr>
        <w:t>māju piesaistīto zemesgabalu</w:t>
      </w:r>
    </w:p>
    <w:p w:rsidR="00DF15D8" w:rsidRPr="005976F2" w:rsidRDefault="008931BC" w:rsidP="008931BC">
      <w:pPr>
        <w:jc w:val="center"/>
        <w:rPr>
          <w:rFonts w:eastAsia="Calibri"/>
          <w:b/>
          <w:bCs/>
        </w:rPr>
      </w:pPr>
      <w:r w:rsidRPr="005976F2">
        <w:rPr>
          <w:rFonts w:eastAsia="Calibri"/>
          <w:b/>
          <w:bCs/>
        </w:rPr>
        <w:t xml:space="preserve">labiekārtošanai </w:t>
      </w:r>
      <w:r w:rsidR="00DF15D8" w:rsidRPr="005976F2">
        <w:rPr>
          <w:rFonts w:eastAsia="Calibri"/>
          <w:b/>
          <w:bCs/>
        </w:rPr>
        <w:t>un dzīvojamo māju renovācijai</w:t>
      </w:r>
      <w:r w:rsidR="00DF15D8" w:rsidRPr="005976F2">
        <w:rPr>
          <w:rFonts w:eastAsia="Calibri"/>
          <w:b/>
        </w:rPr>
        <w:t>””</w:t>
      </w:r>
    </w:p>
    <w:p w:rsidR="00DF15D8" w:rsidRPr="005976F2" w:rsidRDefault="00DF15D8" w:rsidP="00DF15D8">
      <w:pPr>
        <w:rPr>
          <w:rFonts w:eastAsia="Calibri"/>
          <w:bCs/>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14"/>
        <w:gridCol w:w="6520"/>
      </w:tblGrid>
      <w:tr w:rsidR="00DF15D8" w:rsidRPr="00BC56C7" w:rsidTr="005976F2">
        <w:trPr>
          <w:trHeight w:val="4101"/>
        </w:trPr>
        <w:tc>
          <w:tcPr>
            <w:tcW w:w="3114" w:type="dxa"/>
            <w:shd w:val="clear" w:color="auto" w:fill="auto"/>
            <w:tcMar>
              <w:top w:w="0" w:type="dxa"/>
              <w:left w:w="108" w:type="dxa"/>
              <w:bottom w:w="0" w:type="dxa"/>
              <w:right w:w="108" w:type="dxa"/>
            </w:tcMar>
          </w:tcPr>
          <w:p w:rsidR="00DF15D8" w:rsidRPr="00BC56C7" w:rsidRDefault="008931BC" w:rsidP="00457D41">
            <w:pPr>
              <w:rPr>
                <w:rFonts w:eastAsia="Calibri"/>
              </w:rPr>
            </w:pPr>
            <w:r w:rsidRPr="00BC56C7">
              <w:rPr>
                <w:rFonts w:eastAsia="Calibri"/>
              </w:rPr>
              <w:t>1. N</w:t>
            </w:r>
            <w:r w:rsidR="00DF15D8" w:rsidRPr="00BC56C7">
              <w:rPr>
                <w:rFonts w:eastAsia="Calibri"/>
              </w:rPr>
              <w:t>epieciešamības pamatojums</w:t>
            </w:r>
          </w:p>
        </w:tc>
        <w:tc>
          <w:tcPr>
            <w:tcW w:w="6520" w:type="dxa"/>
            <w:shd w:val="clear" w:color="auto" w:fill="auto"/>
            <w:tcMar>
              <w:top w:w="0" w:type="dxa"/>
              <w:left w:w="108" w:type="dxa"/>
              <w:bottom w:w="0" w:type="dxa"/>
              <w:right w:w="108" w:type="dxa"/>
            </w:tcMar>
            <w:vAlign w:val="center"/>
          </w:tcPr>
          <w:p w:rsidR="00DF15D8" w:rsidRPr="00BC56C7" w:rsidRDefault="00DF15D8" w:rsidP="00457D41">
            <w:pPr>
              <w:jc w:val="both"/>
              <w:rPr>
                <w:rFonts w:eastAsia="Calibri"/>
              </w:rPr>
            </w:pPr>
            <w:r w:rsidRPr="00BC56C7">
              <w:rPr>
                <w:rFonts w:eastAsia="Calibri"/>
              </w:rPr>
              <w:t>Saskaņā ar likuma „Par palīdzību dzīvokļa jautājumu risināšanā” 27.²panta otrās daļas 2., 3., 4. un 5.punktu un piekto daļu, pašvaldība var sniegt palīdzību dzīvojamās mājas īpašniekam (īpašniekiem) vai dzīvokļu īpašniekiem, piešķirot finansējumu:</w:t>
            </w:r>
          </w:p>
          <w:p w:rsidR="00DF15D8" w:rsidRPr="00BC56C7" w:rsidRDefault="00DF15D8" w:rsidP="00457D41">
            <w:pPr>
              <w:jc w:val="both"/>
              <w:rPr>
                <w:rFonts w:eastAsia="Calibri"/>
              </w:rPr>
            </w:pPr>
            <w:r w:rsidRPr="00BC56C7">
              <w:rPr>
                <w:rFonts w:eastAsia="Calibri"/>
              </w:rPr>
              <w:t>- dzīvojamās mājas renovācijai, ja tās tehniskais stāvoklis normatīvajos aktos noteiktajā kārtībā atzīts par bīstamu cilvēku dzīvībai vai veselībai;</w:t>
            </w:r>
          </w:p>
          <w:p w:rsidR="00DF15D8" w:rsidRPr="00BC56C7" w:rsidRDefault="00DF15D8" w:rsidP="00457D41">
            <w:pPr>
              <w:jc w:val="both"/>
              <w:rPr>
                <w:rFonts w:eastAsia="Calibri"/>
              </w:rPr>
            </w:pPr>
            <w:r w:rsidRPr="00BC56C7">
              <w:rPr>
                <w:rFonts w:eastAsia="Calibri"/>
              </w:rPr>
              <w:t>- tādas dzīvojamās mājas renovācijai, kurā jālikvidē terora akta, avārijas, stihiskas nelaimes vai citas katastrofas sekas;</w:t>
            </w:r>
          </w:p>
          <w:p w:rsidR="00DF15D8" w:rsidRPr="00BC56C7" w:rsidRDefault="00DF15D8" w:rsidP="00457D41">
            <w:pPr>
              <w:jc w:val="both"/>
              <w:rPr>
                <w:rFonts w:eastAsia="Calibri"/>
              </w:rPr>
            </w:pPr>
            <w:r w:rsidRPr="00BC56C7">
              <w:rPr>
                <w:rFonts w:eastAsia="Calibri"/>
              </w:rPr>
              <w:t>- energoefektivitātes pasākumu veikšanai dzīvojamā mājā;</w:t>
            </w:r>
          </w:p>
          <w:p w:rsidR="00DF15D8" w:rsidRPr="00BC56C7" w:rsidRDefault="00DF15D8" w:rsidP="00457D41">
            <w:pPr>
              <w:jc w:val="both"/>
              <w:rPr>
                <w:rFonts w:eastAsia="Calibri"/>
              </w:rPr>
            </w:pPr>
            <w:r w:rsidRPr="00BC56C7">
              <w:rPr>
                <w:rFonts w:eastAsia="Calibri"/>
              </w:rPr>
              <w:t>- dzīvojamai mājai piesaistītā zemesgabala labiekārtošanai.</w:t>
            </w:r>
          </w:p>
          <w:p w:rsidR="00DF15D8" w:rsidRPr="00BC56C7" w:rsidRDefault="00DF15D8" w:rsidP="00457D41">
            <w:pPr>
              <w:jc w:val="both"/>
              <w:rPr>
                <w:rFonts w:eastAsia="Calibri"/>
              </w:rPr>
            </w:pPr>
            <w:r w:rsidRPr="00BC56C7">
              <w:rPr>
                <w:rFonts w:eastAsia="Calibri"/>
              </w:rPr>
              <w:t>Kārtību, kādā tiek sniegta minētā palīdzība, un palīdzības apmēru nosaka pašvaldība savos saistošajos noteikumos. Sniedzot šā panta otrajā daļā noteikto palīdzību, pašvaldība ievēro komercdarbības atbalsta kontroli regulējošos normatīvos aktus.</w:t>
            </w:r>
          </w:p>
        </w:tc>
      </w:tr>
      <w:tr w:rsidR="00DF15D8" w:rsidRPr="00BC56C7" w:rsidTr="005976F2">
        <w:trPr>
          <w:trHeight w:val="289"/>
        </w:trPr>
        <w:tc>
          <w:tcPr>
            <w:tcW w:w="3114" w:type="dxa"/>
            <w:shd w:val="clear" w:color="auto" w:fill="auto"/>
            <w:tcMar>
              <w:top w:w="0" w:type="dxa"/>
              <w:left w:w="108" w:type="dxa"/>
              <w:bottom w:w="0" w:type="dxa"/>
              <w:right w:w="108" w:type="dxa"/>
            </w:tcMar>
            <w:vAlign w:val="center"/>
          </w:tcPr>
          <w:p w:rsidR="00DF15D8" w:rsidRPr="00BC56C7" w:rsidRDefault="00DF15D8" w:rsidP="008931BC">
            <w:pPr>
              <w:rPr>
                <w:rFonts w:eastAsia="Calibri"/>
              </w:rPr>
            </w:pPr>
            <w:r w:rsidRPr="00BC56C7">
              <w:rPr>
                <w:rFonts w:eastAsia="Calibri"/>
              </w:rPr>
              <w:t>2. Īss satura izklāsts</w:t>
            </w:r>
          </w:p>
        </w:tc>
        <w:tc>
          <w:tcPr>
            <w:tcW w:w="6520" w:type="dxa"/>
            <w:shd w:val="clear" w:color="auto" w:fill="auto"/>
            <w:tcMar>
              <w:top w:w="0" w:type="dxa"/>
              <w:left w:w="108" w:type="dxa"/>
              <w:bottom w:w="0" w:type="dxa"/>
              <w:right w:w="108" w:type="dxa"/>
            </w:tcMar>
            <w:vAlign w:val="center"/>
          </w:tcPr>
          <w:p w:rsidR="00DF15D8" w:rsidRPr="00BC56C7" w:rsidRDefault="00DF15D8" w:rsidP="00457D41">
            <w:pPr>
              <w:jc w:val="both"/>
              <w:rPr>
                <w:rFonts w:eastAsia="Calibri"/>
              </w:rPr>
            </w:pPr>
            <w:r w:rsidRPr="00BC56C7">
              <w:rPr>
                <w:rFonts w:eastAsia="Calibri"/>
              </w:rPr>
              <w:t>Izstrādātie saistošie noteikumi paredz nodrošināt lielāku pašvaldības līdzfinansējumu dzīvojamo māju jumtu renovācijām un siltumapgādes sistēmu projektēšanai.</w:t>
            </w:r>
          </w:p>
        </w:tc>
      </w:tr>
      <w:tr w:rsidR="00DF15D8" w:rsidRPr="00BC56C7" w:rsidTr="005976F2">
        <w:trPr>
          <w:trHeight w:val="479"/>
        </w:trPr>
        <w:tc>
          <w:tcPr>
            <w:tcW w:w="3114" w:type="dxa"/>
            <w:shd w:val="clear" w:color="auto" w:fill="auto"/>
            <w:tcMar>
              <w:top w:w="0" w:type="dxa"/>
              <w:left w:w="108" w:type="dxa"/>
              <w:bottom w:w="0" w:type="dxa"/>
              <w:right w:w="108" w:type="dxa"/>
            </w:tcMar>
            <w:vAlign w:val="center"/>
          </w:tcPr>
          <w:p w:rsidR="00DF15D8" w:rsidRPr="00BC56C7" w:rsidRDefault="00DF15D8" w:rsidP="008931BC">
            <w:pPr>
              <w:rPr>
                <w:rFonts w:eastAsia="Calibri"/>
              </w:rPr>
            </w:pPr>
            <w:r w:rsidRPr="00BC56C7">
              <w:rPr>
                <w:rFonts w:eastAsia="Calibri"/>
              </w:rPr>
              <w:t>3. Saistošo noteikumu iespējamā ietekme uz pašvaldības budžetu</w:t>
            </w:r>
          </w:p>
        </w:tc>
        <w:tc>
          <w:tcPr>
            <w:tcW w:w="6520" w:type="dxa"/>
            <w:shd w:val="clear" w:color="auto" w:fill="auto"/>
            <w:tcMar>
              <w:top w:w="0" w:type="dxa"/>
              <w:left w:w="108" w:type="dxa"/>
              <w:bottom w:w="0" w:type="dxa"/>
              <w:right w:w="108" w:type="dxa"/>
            </w:tcMar>
            <w:vAlign w:val="center"/>
          </w:tcPr>
          <w:p w:rsidR="00DF15D8" w:rsidRPr="00BC56C7" w:rsidRDefault="00DF15D8" w:rsidP="00457D41">
            <w:pPr>
              <w:jc w:val="both"/>
              <w:rPr>
                <w:rFonts w:eastAsia="Calibri"/>
              </w:rPr>
            </w:pPr>
            <w:r w:rsidRPr="00BC56C7">
              <w:rPr>
                <w:rFonts w:eastAsia="Calibri"/>
              </w:rPr>
              <w:t xml:space="preserve">Ik gadu pašvaldības budžetā tiks paredzēta konkrēta summa. Budžeta plānošana notiks atkarībā no māju īpašnieku un </w:t>
            </w:r>
            <w:proofErr w:type="spellStart"/>
            <w:r w:rsidRPr="00BC56C7">
              <w:rPr>
                <w:rFonts w:eastAsia="Calibri"/>
              </w:rPr>
              <w:t>apsaimniekotāju</w:t>
            </w:r>
            <w:proofErr w:type="spellEnd"/>
            <w:r w:rsidRPr="00BC56C7">
              <w:rPr>
                <w:rFonts w:eastAsia="Calibri"/>
              </w:rPr>
              <w:t xml:space="preserve"> aktivitātes </w:t>
            </w:r>
            <w:proofErr w:type="spellStart"/>
            <w:r w:rsidRPr="00BC56C7">
              <w:rPr>
                <w:rFonts w:eastAsia="Calibri"/>
              </w:rPr>
              <w:t>izvērtējuma</w:t>
            </w:r>
            <w:proofErr w:type="spellEnd"/>
            <w:r w:rsidRPr="00BC56C7">
              <w:rPr>
                <w:rFonts w:eastAsia="Calibri"/>
              </w:rPr>
              <w:t xml:space="preserve"> un budžeta iespējām. </w:t>
            </w:r>
          </w:p>
        </w:tc>
      </w:tr>
      <w:tr w:rsidR="00DF15D8" w:rsidRPr="00BC56C7" w:rsidTr="005976F2">
        <w:trPr>
          <w:trHeight w:val="342"/>
        </w:trPr>
        <w:tc>
          <w:tcPr>
            <w:tcW w:w="3114" w:type="dxa"/>
            <w:shd w:val="clear" w:color="auto" w:fill="auto"/>
            <w:tcMar>
              <w:top w:w="0" w:type="dxa"/>
              <w:left w:w="108" w:type="dxa"/>
              <w:bottom w:w="0" w:type="dxa"/>
              <w:right w:w="108" w:type="dxa"/>
            </w:tcMar>
            <w:vAlign w:val="center"/>
          </w:tcPr>
          <w:p w:rsidR="00DF15D8" w:rsidRPr="00BC56C7" w:rsidRDefault="00DF15D8" w:rsidP="005976F2">
            <w:pPr>
              <w:ind w:right="-108"/>
              <w:rPr>
                <w:rFonts w:eastAsia="Calibri"/>
              </w:rPr>
            </w:pPr>
            <w:r w:rsidRPr="00BC56C7">
              <w:rPr>
                <w:rFonts w:eastAsia="Calibri"/>
              </w:rPr>
              <w:t>4. Saistošo noteikumu iespējamā ietekme uz uzņēmējdarbības vidi pašvaldības teritorijā</w:t>
            </w:r>
          </w:p>
        </w:tc>
        <w:tc>
          <w:tcPr>
            <w:tcW w:w="6520" w:type="dxa"/>
            <w:shd w:val="clear" w:color="auto" w:fill="auto"/>
            <w:tcMar>
              <w:top w:w="0" w:type="dxa"/>
              <w:left w:w="108" w:type="dxa"/>
              <w:bottom w:w="0" w:type="dxa"/>
              <w:right w:w="108" w:type="dxa"/>
            </w:tcMar>
            <w:vAlign w:val="center"/>
          </w:tcPr>
          <w:p w:rsidR="00DF15D8" w:rsidRPr="00BC56C7" w:rsidRDefault="00DF15D8" w:rsidP="00457D41">
            <w:pPr>
              <w:jc w:val="both"/>
              <w:rPr>
                <w:rFonts w:eastAsia="Calibri"/>
              </w:rPr>
            </w:pPr>
            <w:r w:rsidRPr="00BC56C7">
              <w:rPr>
                <w:rFonts w:eastAsia="Calibri"/>
              </w:rPr>
              <w:t>Iespējams pieprasījums ēku renovācijas darbu veikšanai un projektu izstrādei.</w:t>
            </w:r>
          </w:p>
        </w:tc>
      </w:tr>
      <w:tr w:rsidR="00DF15D8" w:rsidRPr="00BC56C7" w:rsidTr="005976F2">
        <w:trPr>
          <w:trHeight w:val="70"/>
        </w:trPr>
        <w:tc>
          <w:tcPr>
            <w:tcW w:w="3114" w:type="dxa"/>
            <w:shd w:val="clear" w:color="auto" w:fill="auto"/>
            <w:tcMar>
              <w:top w:w="0" w:type="dxa"/>
              <w:left w:w="108" w:type="dxa"/>
              <w:bottom w:w="0" w:type="dxa"/>
              <w:right w:w="108" w:type="dxa"/>
            </w:tcMar>
            <w:vAlign w:val="center"/>
          </w:tcPr>
          <w:p w:rsidR="00DF15D8" w:rsidRPr="00BC56C7" w:rsidRDefault="00DF15D8" w:rsidP="005976F2">
            <w:pPr>
              <w:ind w:right="-108"/>
              <w:rPr>
                <w:rFonts w:eastAsia="Calibri"/>
              </w:rPr>
            </w:pPr>
            <w:r w:rsidRPr="00BC56C7">
              <w:rPr>
                <w:rFonts w:eastAsia="Calibri"/>
              </w:rPr>
              <w:t>5. Saistošo noteikumu iespējamā ietekme uz administratīvajām procedūrām</w:t>
            </w:r>
          </w:p>
        </w:tc>
        <w:tc>
          <w:tcPr>
            <w:tcW w:w="6520" w:type="dxa"/>
            <w:shd w:val="clear" w:color="auto" w:fill="auto"/>
            <w:tcMar>
              <w:top w:w="0" w:type="dxa"/>
              <w:left w:w="108" w:type="dxa"/>
              <w:bottom w:w="0" w:type="dxa"/>
              <w:right w:w="108" w:type="dxa"/>
            </w:tcMar>
            <w:vAlign w:val="center"/>
          </w:tcPr>
          <w:p w:rsidR="00DF15D8" w:rsidRPr="00BC56C7" w:rsidRDefault="00DF15D8" w:rsidP="00457D41">
            <w:pPr>
              <w:jc w:val="both"/>
              <w:rPr>
                <w:rFonts w:eastAsia="Calibri"/>
              </w:rPr>
            </w:pPr>
            <w:r w:rsidRPr="00BC56C7">
              <w:rPr>
                <w:rFonts w:eastAsia="Calibri"/>
              </w:rPr>
              <w:t>Procedūras netiek mainītas, projektus izvērtēs iepirkumu komisija 1 mēneša laikā no iesnieguma saņemšanas brīža.</w:t>
            </w:r>
          </w:p>
        </w:tc>
      </w:tr>
      <w:tr w:rsidR="00DF15D8" w:rsidRPr="00BC56C7" w:rsidTr="005976F2">
        <w:tc>
          <w:tcPr>
            <w:tcW w:w="3114" w:type="dxa"/>
            <w:shd w:val="clear" w:color="auto" w:fill="auto"/>
            <w:tcMar>
              <w:top w:w="0" w:type="dxa"/>
              <w:left w:w="108" w:type="dxa"/>
              <w:bottom w:w="0" w:type="dxa"/>
              <w:right w:w="108" w:type="dxa"/>
            </w:tcMar>
            <w:vAlign w:val="center"/>
          </w:tcPr>
          <w:p w:rsidR="00DF15D8" w:rsidRPr="00BC56C7" w:rsidRDefault="00DF15D8" w:rsidP="005976F2">
            <w:pPr>
              <w:ind w:right="-108"/>
              <w:rPr>
                <w:rFonts w:eastAsia="Calibri"/>
              </w:rPr>
            </w:pPr>
            <w:r w:rsidRPr="00BC56C7">
              <w:rPr>
                <w:rFonts w:eastAsia="Calibri"/>
              </w:rPr>
              <w:t xml:space="preserve">6. Informācija par konsultācijām ar privātpersonām saistībā ar </w:t>
            </w:r>
            <w:r w:rsidR="008931BC" w:rsidRPr="00BC56C7">
              <w:rPr>
                <w:rFonts w:eastAsia="Calibri"/>
              </w:rPr>
              <w:t>saistošajiem noteikumiem</w:t>
            </w:r>
          </w:p>
        </w:tc>
        <w:tc>
          <w:tcPr>
            <w:tcW w:w="6520" w:type="dxa"/>
            <w:shd w:val="clear" w:color="auto" w:fill="auto"/>
            <w:tcMar>
              <w:top w:w="0" w:type="dxa"/>
              <w:left w:w="108" w:type="dxa"/>
              <w:bottom w:w="0" w:type="dxa"/>
              <w:right w:w="108" w:type="dxa"/>
            </w:tcMar>
            <w:vAlign w:val="center"/>
          </w:tcPr>
          <w:p w:rsidR="00DF15D8" w:rsidRPr="00BC56C7" w:rsidRDefault="00DF15D8" w:rsidP="00457D41">
            <w:pPr>
              <w:jc w:val="both"/>
              <w:rPr>
                <w:rFonts w:eastAsia="Calibri"/>
              </w:rPr>
            </w:pPr>
            <w:r w:rsidRPr="00BC56C7">
              <w:rPr>
                <w:rFonts w:eastAsia="Calibri"/>
              </w:rPr>
              <w:t xml:space="preserve">Konsultācijas notikušas ar vairākiem ēku </w:t>
            </w:r>
            <w:proofErr w:type="spellStart"/>
            <w:r w:rsidRPr="00BC56C7">
              <w:rPr>
                <w:rFonts w:eastAsia="Calibri"/>
              </w:rPr>
              <w:t>apsaimniekotājiem</w:t>
            </w:r>
            <w:proofErr w:type="spellEnd"/>
            <w:r w:rsidRPr="00BC56C7">
              <w:rPr>
                <w:rFonts w:eastAsia="Calibri"/>
              </w:rPr>
              <w:t>.</w:t>
            </w:r>
          </w:p>
        </w:tc>
      </w:tr>
    </w:tbl>
    <w:p w:rsidR="00DF15D8" w:rsidRPr="005976F2" w:rsidRDefault="00DF15D8" w:rsidP="00DF15D8">
      <w:pPr>
        <w:rPr>
          <w:rFonts w:eastAsia="Calibri"/>
          <w:sz w:val="20"/>
          <w:szCs w:val="20"/>
        </w:rPr>
      </w:pPr>
    </w:p>
    <w:p w:rsidR="00DF15D8" w:rsidRPr="00BC56C7" w:rsidRDefault="00DF15D8" w:rsidP="00DF15D8">
      <w:pPr>
        <w:ind w:right="43"/>
        <w:contextualSpacing/>
        <w:rPr>
          <w:rFonts w:eastAsia="Calibri"/>
        </w:rPr>
      </w:pPr>
      <w:r w:rsidRPr="00BC56C7">
        <w:rPr>
          <w:rFonts w:eastAsia="Calibri"/>
        </w:rPr>
        <w:t>Limbažu novada pašvaldības</w:t>
      </w:r>
    </w:p>
    <w:p w:rsidR="00DF15D8" w:rsidRPr="005976F2" w:rsidRDefault="00DF15D8" w:rsidP="005976F2">
      <w:pPr>
        <w:tabs>
          <w:tab w:val="left" w:pos="4678"/>
          <w:tab w:val="left" w:pos="8364"/>
        </w:tabs>
        <w:ind w:right="43"/>
        <w:contextualSpacing/>
        <w:rPr>
          <w:rFonts w:eastAsia="Calibri"/>
        </w:rPr>
      </w:pPr>
      <w:r w:rsidRPr="00BC56C7">
        <w:rPr>
          <w:rFonts w:eastAsia="Calibri"/>
        </w:rPr>
        <w:t>Domes priekšsēdētājs</w:t>
      </w:r>
      <w:r w:rsidRPr="00BC56C7">
        <w:rPr>
          <w:rFonts w:eastAsia="Calibri"/>
        </w:rPr>
        <w:tab/>
      </w:r>
      <w:r w:rsidRPr="00BC56C7">
        <w:rPr>
          <w:rFonts w:eastAsia="Calibri"/>
        </w:rPr>
        <w:tab/>
      </w:r>
      <w:proofErr w:type="spellStart"/>
      <w:r w:rsidRPr="00BC56C7">
        <w:rPr>
          <w:rFonts w:eastAsia="Calibri"/>
        </w:rPr>
        <w:t>D.Zemmers</w:t>
      </w:r>
      <w:proofErr w:type="spellEnd"/>
    </w:p>
    <w:p w:rsidR="008931BC" w:rsidRDefault="008931BC" w:rsidP="00DF15D8">
      <w:pPr>
        <w:ind w:right="-186"/>
        <w:jc w:val="center"/>
        <w:rPr>
          <w:b/>
        </w:rPr>
        <w:sectPr w:rsidR="008931BC" w:rsidSect="008931BC">
          <w:headerReference w:type="default" r:id="rId7"/>
          <w:headerReference w:type="first" r:id="rId8"/>
          <w:pgSz w:w="11906" w:h="16838" w:code="9"/>
          <w:pgMar w:top="1134" w:right="567" w:bottom="1134" w:left="1701" w:header="709" w:footer="709" w:gutter="0"/>
          <w:cols w:space="708"/>
          <w:titlePg/>
          <w:docGrid w:linePitch="360"/>
        </w:sectPr>
      </w:pPr>
    </w:p>
    <w:p w:rsidR="008931BC" w:rsidRDefault="008931BC" w:rsidP="00DF15D8">
      <w:pPr>
        <w:ind w:right="-186"/>
        <w:jc w:val="center"/>
        <w:rPr>
          <w:b/>
        </w:rPr>
      </w:pPr>
    </w:p>
    <w:p w:rsidR="00DF15D8" w:rsidRPr="003A4474" w:rsidRDefault="00DF15D8" w:rsidP="00DF15D8">
      <w:pPr>
        <w:ind w:right="-186"/>
        <w:jc w:val="center"/>
        <w:rPr>
          <w:b/>
        </w:rPr>
      </w:pPr>
      <w:r w:rsidRPr="003A4474">
        <w:rPr>
          <w:b/>
        </w:rPr>
        <w:t>SAISTOŠIE NOTEIKUMI</w:t>
      </w:r>
    </w:p>
    <w:p w:rsidR="00DF15D8" w:rsidRPr="003A4474" w:rsidRDefault="00DF15D8" w:rsidP="00DF15D8">
      <w:pPr>
        <w:ind w:right="-186"/>
        <w:jc w:val="center"/>
        <w:rPr>
          <w:b/>
        </w:rPr>
      </w:pPr>
      <w:r w:rsidRPr="003A4474">
        <w:t>Limbažos</w:t>
      </w:r>
    </w:p>
    <w:p w:rsidR="00DF15D8" w:rsidRPr="003A4474" w:rsidRDefault="00DF15D8" w:rsidP="00DF15D8">
      <w:pPr>
        <w:ind w:right="-186"/>
      </w:pPr>
    </w:p>
    <w:p w:rsidR="00DF15D8" w:rsidRPr="003A4474" w:rsidRDefault="00DF15D8" w:rsidP="00DF15D8">
      <w:pPr>
        <w:tabs>
          <w:tab w:val="left" w:pos="8931"/>
        </w:tabs>
        <w:ind w:right="43"/>
      </w:pPr>
      <w:r w:rsidRPr="003A4474">
        <w:t>2016.gada 25.februārī</w:t>
      </w:r>
      <w:r w:rsidRPr="008931BC">
        <w:tab/>
        <w:t>Nr.11</w:t>
      </w:r>
    </w:p>
    <w:p w:rsidR="00DF15D8" w:rsidRPr="003A4474" w:rsidRDefault="00DF15D8" w:rsidP="00DF15D8">
      <w:pPr>
        <w:ind w:right="-186"/>
      </w:pPr>
    </w:p>
    <w:p w:rsidR="00DF15D8" w:rsidRPr="003A4474" w:rsidRDefault="00DF15D8" w:rsidP="00DF15D8">
      <w:pPr>
        <w:ind w:right="-81"/>
        <w:jc w:val="right"/>
        <w:rPr>
          <w:b/>
          <w:bCs/>
        </w:rPr>
      </w:pPr>
      <w:r w:rsidRPr="003A4474">
        <w:rPr>
          <w:b/>
        </w:rPr>
        <w:t>APSTIPRINĀTI</w:t>
      </w:r>
    </w:p>
    <w:p w:rsidR="00DF15D8" w:rsidRPr="003A4474" w:rsidRDefault="00DF15D8" w:rsidP="00DF15D8">
      <w:pPr>
        <w:autoSpaceDE w:val="0"/>
        <w:autoSpaceDN w:val="0"/>
        <w:adjustRightInd w:val="0"/>
        <w:jc w:val="right"/>
        <w:rPr>
          <w:b/>
          <w:bCs/>
        </w:rPr>
      </w:pPr>
      <w:r w:rsidRPr="003A4474">
        <w:t>ar Limbažu novada domes</w:t>
      </w:r>
    </w:p>
    <w:p w:rsidR="00DF15D8" w:rsidRPr="003A4474" w:rsidRDefault="00DF15D8" w:rsidP="00DF15D8">
      <w:pPr>
        <w:autoSpaceDE w:val="0"/>
        <w:autoSpaceDN w:val="0"/>
        <w:adjustRightInd w:val="0"/>
        <w:jc w:val="right"/>
        <w:rPr>
          <w:b/>
          <w:bCs/>
        </w:rPr>
      </w:pPr>
      <w:r w:rsidRPr="003A4474">
        <w:t>25.02.2016. sēdes</w:t>
      </w:r>
      <w:r w:rsidRPr="003A4474">
        <w:rPr>
          <w:b/>
          <w:bCs/>
        </w:rPr>
        <w:t xml:space="preserve"> </w:t>
      </w:r>
      <w:r w:rsidRPr="003A4474">
        <w:t xml:space="preserve">lēmumu </w:t>
      </w:r>
    </w:p>
    <w:p w:rsidR="00DF15D8" w:rsidRPr="008931BC" w:rsidRDefault="008931BC" w:rsidP="00DF15D8">
      <w:pPr>
        <w:autoSpaceDE w:val="0"/>
        <w:autoSpaceDN w:val="0"/>
        <w:adjustRightInd w:val="0"/>
        <w:jc w:val="right"/>
        <w:rPr>
          <w:b/>
          <w:bCs/>
        </w:rPr>
      </w:pPr>
      <w:r>
        <w:t>(protokols Nr.5, 34</w:t>
      </w:r>
      <w:r w:rsidR="00DF15D8" w:rsidRPr="003A4474">
        <w:t>.§)</w:t>
      </w:r>
    </w:p>
    <w:p w:rsidR="00DF15D8" w:rsidRPr="008931BC" w:rsidRDefault="00DF15D8" w:rsidP="00DF15D8">
      <w:pPr>
        <w:jc w:val="right"/>
        <w:rPr>
          <w:rFonts w:eastAsia="Calibri"/>
        </w:rPr>
      </w:pPr>
    </w:p>
    <w:p w:rsidR="00DF15D8" w:rsidRPr="00274582" w:rsidRDefault="00DF15D8" w:rsidP="00DF15D8">
      <w:pPr>
        <w:jc w:val="center"/>
        <w:rPr>
          <w:rFonts w:eastAsia="Calibri"/>
          <w:sz w:val="28"/>
          <w:szCs w:val="28"/>
        </w:rPr>
      </w:pPr>
      <w:r w:rsidRPr="00274582">
        <w:rPr>
          <w:rFonts w:eastAsia="Calibri"/>
          <w:b/>
          <w:sz w:val="28"/>
          <w:szCs w:val="28"/>
        </w:rPr>
        <w:t xml:space="preserve">Grozījums Limbažu novada pašvaldības </w:t>
      </w:r>
      <w:r w:rsidRPr="00274582">
        <w:rPr>
          <w:rFonts w:eastAsia="Calibri"/>
          <w:b/>
          <w:bCs/>
          <w:sz w:val="28"/>
          <w:szCs w:val="28"/>
        </w:rPr>
        <w:t>2014.gada 27.februāra saistošajos noteikumos Nr.10 „Par Limbažu novada pašvaldības līdzfinansējuma apjomu un tā piešķiršanas kārtību daudzdzīvokļu dzīvojamo māju piesaistīto zemesgabalu labiekārtošanai un dzīvojamo māju renovācijai</w:t>
      </w:r>
      <w:r w:rsidRPr="00274582">
        <w:rPr>
          <w:rFonts w:eastAsia="Calibri"/>
          <w:b/>
          <w:sz w:val="28"/>
          <w:szCs w:val="28"/>
        </w:rPr>
        <w:t>”</w:t>
      </w:r>
    </w:p>
    <w:p w:rsidR="00DF15D8" w:rsidRPr="00274582" w:rsidRDefault="00DF15D8" w:rsidP="00DF15D8">
      <w:pPr>
        <w:jc w:val="center"/>
        <w:rPr>
          <w:rFonts w:eastAsia="Calibri"/>
        </w:rPr>
      </w:pPr>
    </w:p>
    <w:p w:rsidR="00DF15D8" w:rsidRPr="008931BC" w:rsidRDefault="00DF15D8" w:rsidP="00DF15D8">
      <w:pPr>
        <w:jc w:val="right"/>
        <w:rPr>
          <w:rFonts w:eastAsia="Calibri"/>
          <w:i/>
          <w:iCs/>
          <w:sz w:val="22"/>
          <w:szCs w:val="22"/>
        </w:rPr>
      </w:pPr>
      <w:r w:rsidRPr="008931BC">
        <w:rPr>
          <w:rFonts w:eastAsia="Calibri"/>
          <w:i/>
          <w:iCs/>
          <w:sz w:val="22"/>
          <w:szCs w:val="22"/>
        </w:rPr>
        <w:t xml:space="preserve">Izdoti saskaņā ar likuma „Par palīdzību dzīvokļa </w:t>
      </w:r>
    </w:p>
    <w:p w:rsidR="00DF15D8" w:rsidRPr="00C13783" w:rsidRDefault="00DF15D8" w:rsidP="00C13783">
      <w:pPr>
        <w:jc w:val="right"/>
        <w:rPr>
          <w:rFonts w:eastAsia="Calibri"/>
          <w:i/>
          <w:iCs/>
          <w:sz w:val="22"/>
          <w:szCs w:val="22"/>
        </w:rPr>
      </w:pPr>
      <w:r w:rsidRPr="008931BC">
        <w:rPr>
          <w:rFonts w:eastAsia="Calibri"/>
          <w:i/>
          <w:iCs/>
          <w:sz w:val="22"/>
          <w:szCs w:val="22"/>
        </w:rPr>
        <w:t xml:space="preserve">jautājumu risināšanā” 27.²panta </w:t>
      </w:r>
      <w:bookmarkStart w:id="0" w:name="_GoBack"/>
      <w:bookmarkEnd w:id="0"/>
      <w:r w:rsidRPr="008931BC">
        <w:rPr>
          <w:rFonts w:eastAsia="Calibri"/>
          <w:i/>
          <w:iCs/>
          <w:sz w:val="22"/>
          <w:szCs w:val="22"/>
        </w:rPr>
        <w:t>piekto daļu</w:t>
      </w:r>
    </w:p>
    <w:p w:rsidR="00DF15D8" w:rsidRPr="008931BC" w:rsidRDefault="00DF15D8" w:rsidP="00DF15D8">
      <w:pPr>
        <w:jc w:val="right"/>
        <w:rPr>
          <w:rFonts w:eastAsia="Calibri"/>
          <w:sz w:val="22"/>
          <w:szCs w:val="22"/>
        </w:rPr>
      </w:pPr>
    </w:p>
    <w:p w:rsidR="00DF15D8" w:rsidRPr="008931BC" w:rsidRDefault="00DF15D8" w:rsidP="00DF15D8">
      <w:pPr>
        <w:pStyle w:val="Sarakstarindkopa"/>
        <w:numPr>
          <w:ilvl w:val="0"/>
          <w:numId w:val="1"/>
        </w:numPr>
        <w:ind w:left="567" w:hanging="567"/>
        <w:jc w:val="both"/>
        <w:rPr>
          <w:rFonts w:eastAsia="Calibri"/>
        </w:rPr>
      </w:pPr>
      <w:r w:rsidRPr="008931BC">
        <w:rPr>
          <w:rFonts w:eastAsia="Calibri"/>
        </w:rPr>
        <w:t xml:space="preserve">Izdarīt Limbažu novada 2014.gada 27.februāra saistošajos noteikumos Nr.10 </w:t>
      </w:r>
      <w:r w:rsidRPr="008931BC">
        <w:t>„</w:t>
      </w:r>
      <w:r w:rsidRPr="008931BC">
        <w:rPr>
          <w:rFonts w:eastAsia="Calibri"/>
          <w:bCs/>
        </w:rPr>
        <w:t>Par Limbažu novada pašvaldības līdzfinansējuma apjomu un tā piešķiršanas kārtību daudzdzīvokļu dzīvojamo māju piesaistīto zemesgabalu labiekārtošanai un dzīvojamo māju renovācijai</w:t>
      </w:r>
      <w:r w:rsidRPr="008931BC">
        <w:rPr>
          <w:rFonts w:eastAsia="Calibri"/>
        </w:rPr>
        <w:t>” (turpmāk – noteikumi) grozījumu un izteikt noteikumu 10.punktu šādā redakcijā:</w:t>
      </w:r>
    </w:p>
    <w:p w:rsidR="00DF15D8" w:rsidRPr="008931BC" w:rsidRDefault="00DF15D8" w:rsidP="00DF15D8">
      <w:pPr>
        <w:autoSpaceDE w:val="0"/>
        <w:autoSpaceDN w:val="0"/>
        <w:adjustRightInd w:val="0"/>
        <w:ind w:left="1134" w:hanging="567"/>
        <w:jc w:val="both"/>
        <w:rPr>
          <w:rFonts w:eastAsia="Calibri"/>
        </w:rPr>
      </w:pPr>
      <w:r w:rsidRPr="008931BC">
        <w:rPr>
          <w:rFonts w:eastAsia="Calibri"/>
        </w:rPr>
        <w:t xml:space="preserve"> </w:t>
      </w:r>
      <w:r w:rsidRPr="008931BC">
        <w:t>„</w:t>
      </w:r>
      <w:r w:rsidRPr="008931BC">
        <w:rPr>
          <w:rFonts w:eastAsia="Calibri"/>
        </w:rPr>
        <w:t>10.</w:t>
      </w:r>
      <w:r w:rsidRPr="008931BC">
        <w:rPr>
          <w:rFonts w:eastAsia="Calibri"/>
        </w:rPr>
        <w:tab/>
        <w:t xml:space="preserve">Pašvaldības līdzfinansējuma kopējais apjoms vienas dzīvojamās mājas renovācijai nepārsniedz 5000 EUR. Ja mājas, tās daļas vai atsevišķu tehnisko ierīču tehniskais stāvoklis noteiktajā kārtībā atzīts par tehniski neatbilstošu, tiek piešķirts šādām aktivitātēm: </w:t>
      </w:r>
    </w:p>
    <w:p w:rsidR="00DF15D8" w:rsidRPr="008931BC" w:rsidRDefault="00DF15D8" w:rsidP="00DF15D8">
      <w:pPr>
        <w:tabs>
          <w:tab w:val="left" w:pos="1701"/>
        </w:tabs>
        <w:autoSpaceDE w:val="0"/>
        <w:autoSpaceDN w:val="0"/>
        <w:adjustRightInd w:val="0"/>
        <w:ind w:left="1701" w:hanging="567"/>
        <w:jc w:val="both"/>
        <w:rPr>
          <w:rFonts w:eastAsia="Calibri"/>
        </w:rPr>
      </w:pPr>
      <w:r w:rsidRPr="008931BC">
        <w:rPr>
          <w:rFonts w:eastAsia="Calibri"/>
        </w:rPr>
        <w:t xml:space="preserve">10.1. </w:t>
      </w:r>
      <w:r w:rsidRPr="008931BC">
        <w:rPr>
          <w:rFonts w:eastAsia="Calibri"/>
        </w:rPr>
        <w:tab/>
        <w:t xml:space="preserve">siltumapgādes sistēmas projekta izstrādei – līdz 2500 EUR; </w:t>
      </w:r>
    </w:p>
    <w:p w:rsidR="00DF15D8" w:rsidRPr="008931BC" w:rsidRDefault="00DF15D8" w:rsidP="00DF15D8">
      <w:pPr>
        <w:tabs>
          <w:tab w:val="left" w:pos="1701"/>
        </w:tabs>
        <w:autoSpaceDE w:val="0"/>
        <w:autoSpaceDN w:val="0"/>
        <w:adjustRightInd w:val="0"/>
        <w:ind w:left="1701" w:hanging="567"/>
        <w:jc w:val="both"/>
        <w:rPr>
          <w:rFonts w:eastAsia="Calibri"/>
        </w:rPr>
      </w:pPr>
      <w:r w:rsidRPr="008931BC">
        <w:rPr>
          <w:rFonts w:eastAsia="Calibri"/>
        </w:rPr>
        <w:t>10.2.</w:t>
      </w:r>
      <w:r w:rsidRPr="008931BC">
        <w:rPr>
          <w:rFonts w:eastAsia="Calibri"/>
        </w:rPr>
        <w:tab/>
        <w:t xml:space="preserve">pārējo projektu izstrādei – 50 % no projekta kopējām atbalstāmajām izmaksām, bet ne vairāk kā 150 EUR; </w:t>
      </w:r>
    </w:p>
    <w:p w:rsidR="00DF15D8" w:rsidRPr="008931BC" w:rsidRDefault="00DF15D8" w:rsidP="00DF15D8">
      <w:pPr>
        <w:tabs>
          <w:tab w:val="left" w:pos="1701"/>
        </w:tabs>
        <w:autoSpaceDE w:val="0"/>
        <w:autoSpaceDN w:val="0"/>
        <w:adjustRightInd w:val="0"/>
        <w:ind w:left="1701" w:hanging="567"/>
        <w:jc w:val="both"/>
        <w:rPr>
          <w:rFonts w:eastAsia="Calibri"/>
        </w:rPr>
      </w:pPr>
      <w:r w:rsidRPr="008931BC">
        <w:rPr>
          <w:rFonts w:eastAsia="Calibri"/>
        </w:rPr>
        <w:t>10.3.</w:t>
      </w:r>
      <w:r w:rsidRPr="008931BC">
        <w:rPr>
          <w:rFonts w:eastAsia="Calibri"/>
        </w:rPr>
        <w:tab/>
        <w:t xml:space="preserve">dzīvojamās mājas jumta nomaiņas vai renovācijas darbiem – 50 % no projekta kopējām atbalstāmajām izmaksām, bet ne vairāk kā 5000 EUR; </w:t>
      </w:r>
    </w:p>
    <w:p w:rsidR="00DF15D8" w:rsidRPr="008931BC" w:rsidRDefault="00DF15D8" w:rsidP="00DF15D8">
      <w:pPr>
        <w:tabs>
          <w:tab w:val="left" w:pos="1701"/>
        </w:tabs>
        <w:autoSpaceDE w:val="0"/>
        <w:autoSpaceDN w:val="0"/>
        <w:adjustRightInd w:val="0"/>
        <w:ind w:left="1701" w:hanging="567"/>
        <w:jc w:val="both"/>
        <w:rPr>
          <w:rFonts w:eastAsia="Calibri"/>
        </w:rPr>
      </w:pPr>
      <w:r w:rsidRPr="008931BC">
        <w:rPr>
          <w:rFonts w:eastAsia="Calibri"/>
        </w:rPr>
        <w:t>10.4.</w:t>
      </w:r>
      <w:r w:rsidRPr="008931BC">
        <w:rPr>
          <w:rFonts w:eastAsia="Calibri"/>
        </w:rPr>
        <w:tab/>
        <w:t>pārējiem dzīvojamās mājas renovācijas darbiem – 50 % no projekta kopējām atbalstāmajām izmaksām, bet ne vairāk kā 2000 EUR;</w:t>
      </w:r>
    </w:p>
    <w:p w:rsidR="00DF15D8" w:rsidRPr="008931BC" w:rsidRDefault="00DF15D8" w:rsidP="00DF15D8">
      <w:pPr>
        <w:tabs>
          <w:tab w:val="left" w:pos="1701"/>
        </w:tabs>
        <w:autoSpaceDE w:val="0"/>
        <w:autoSpaceDN w:val="0"/>
        <w:adjustRightInd w:val="0"/>
        <w:ind w:left="1701" w:hanging="567"/>
        <w:jc w:val="both"/>
        <w:rPr>
          <w:rFonts w:eastAsia="Calibri"/>
        </w:rPr>
      </w:pPr>
      <w:r w:rsidRPr="008931BC">
        <w:rPr>
          <w:rFonts w:eastAsia="Calibri"/>
        </w:rPr>
        <w:t xml:space="preserve">10.5. </w:t>
      </w:r>
      <w:r w:rsidRPr="008931BC">
        <w:rPr>
          <w:rFonts w:eastAsia="Calibri"/>
        </w:rPr>
        <w:tab/>
        <w:t>ārkārtas situācijas novēršanai Pašvaldības dome var pieņemt atsevišķu lēmumu par līdzfinansējuma piešķiršanu un tā apjomu.”.</w:t>
      </w:r>
    </w:p>
    <w:p w:rsidR="00DF15D8" w:rsidRPr="008931BC" w:rsidRDefault="00DF15D8" w:rsidP="00DF15D8">
      <w:pPr>
        <w:pStyle w:val="Sarakstarindkopa"/>
        <w:numPr>
          <w:ilvl w:val="0"/>
          <w:numId w:val="1"/>
        </w:numPr>
        <w:ind w:left="567" w:hanging="567"/>
        <w:jc w:val="both"/>
        <w:rPr>
          <w:rFonts w:eastAsia="Calibri"/>
        </w:rPr>
      </w:pPr>
      <w:r w:rsidRPr="008931BC">
        <w:rPr>
          <w:rFonts w:eastAsia="Calibri"/>
        </w:rPr>
        <w:t xml:space="preserve">Noteikumi stājas spēkā pēc to publicēšanas informatīvajā izdevumā </w:t>
      </w:r>
      <w:r w:rsidRPr="008931BC">
        <w:t>„</w:t>
      </w:r>
      <w:r w:rsidRPr="008931BC">
        <w:rPr>
          <w:rFonts w:eastAsia="Calibri"/>
        </w:rPr>
        <w:t>Limbažu Novada Ziņas”.</w:t>
      </w:r>
    </w:p>
    <w:p w:rsidR="00DF15D8" w:rsidRPr="008931BC" w:rsidRDefault="00DF15D8" w:rsidP="00DF15D8">
      <w:pPr>
        <w:tabs>
          <w:tab w:val="left" w:pos="6946"/>
        </w:tabs>
      </w:pPr>
    </w:p>
    <w:p w:rsidR="00DF15D8" w:rsidRPr="008931BC" w:rsidRDefault="00DF15D8" w:rsidP="00DF15D8">
      <w:pPr>
        <w:jc w:val="both"/>
        <w:rPr>
          <w:b/>
        </w:rPr>
      </w:pPr>
    </w:p>
    <w:p w:rsidR="00DF15D8" w:rsidRPr="008931BC" w:rsidRDefault="00DF15D8" w:rsidP="00DF15D8">
      <w:pPr>
        <w:jc w:val="both"/>
        <w:rPr>
          <w:b/>
        </w:rPr>
      </w:pPr>
    </w:p>
    <w:p w:rsidR="00DF15D8" w:rsidRPr="008931BC" w:rsidRDefault="00DF15D8" w:rsidP="00DF15D8">
      <w:pPr>
        <w:ind w:right="43"/>
        <w:contextualSpacing/>
        <w:rPr>
          <w:rFonts w:eastAsia="Calibri"/>
        </w:rPr>
      </w:pPr>
      <w:r w:rsidRPr="008931BC">
        <w:rPr>
          <w:rFonts w:eastAsia="Calibri"/>
        </w:rPr>
        <w:t>Limbažu novada pašvaldības</w:t>
      </w:r>
    </w:p>
    <w:p w:rsidR="00640AA5" w:rsidRPr="008931BC" w:rsidRDefault="00DF15D8" w:rsidP="008931BC">
      <w:pPr>
        <w:tabs>
          <w:tab w:val="left" w:pos="4678"/>
          <w:tab w:val="left" w:pos="8364"/>
        </w:tabs>
        <w:ind w:right="43"/>
        <w:contextualSpacing/>
        <w:rPr>
          <w:rFonts w:eastAsia="Calibri"/>
        </w:rPr>
      </w:pPr>
      <w:r w:rsidRPr="008931BC">
        <w:rPr>
          <w:rFonts w:eastAsia="Calibri"/>
        </w:rPr>
        <w:t>Domes priekšsēdētājs</w:t>
      </w:r>
      <w:r w:rsidRPr="008931BC">
        <w:rPr>
          <w:rFonts w:eastAsia="Calibri"/>
        </w:rPr>
        <w:tab/>
      </w:r>
      <w:r w:rsidRPr="008931BC">
        <w:rPr>
          <w:rFonts w:eastAsia="Calibri"/>
        </w:rPr>
        <w:tab/>
      </w:r>
      <w:proofErr w:type="spellStart"/>
      <w:r w:rsidRPr="008931BC">
        <w:rPr>
          <w:rFonts w:eastAsia="Calibri"/>
        </w:rPr>
        <w:t>D.Zemmers</w:t>
      </w:r>
      <w:proofErr w:type="spellEnd"/>
    </w:p>
    <w:sectPr w:rsidR="00640AA5" w:rsidRPr="008931BC" w:rsidSect="008931BC">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4F6" w:rsidRDefault="008304F6" w:rsidP="008931BC">
      <w:r>
        <w:separator/>
      </w:r>
    </w:p>
  </w:endnote>
  <w:endnote w:type="continuationSeparator" w:id="0">
    <w:p w:rsidR="008304F6" w:rsidRDefault="008304F6" w:rsidP="00893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4F6" w:rsidRDefault="008304F6" w:rsidP="008931BC">
      <w:r>
        <w:separator/>
      </w:r>
    </w:p>
  </w:footnote>
  <w:footnote w:type="continuationSeparator" w:id="0">
    <w:p w:rsidR="008304F6" w:rsidRDefault="008304F6" w:rsidP="008931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7215181"/>
      <w:docPartObj>
        <w:docPartGallery w:val="Page Numbers (Top of Page)"/>
        <w:docPartUnique/>
      </w:docPartObj>
    </w:sdtPr>
    <w:sdtEndPr/>
    <w:sdtContent>
      <w:p w:rsidR="008931BC" w:rsidRDefault="008931BC" w:rsidP="008931BC">
        <w:pPr>
          <w:pStyle w:val="Galvene"/>
          <w:jc w:val="center"/>
        </w:pPr>
        <w:r>
          <w:fldChar w:fldCharType="begin"/>
        </w:r>
        <w:r>
          <w:instrText>PAGE   \* MERGEFORMAT</w:instrText>
        </w:r>
        <w:r>
          <w:fldChar w:fldCharType="separate"/>
        </w:r>
        <w:r w:rsidR="00FB1E29">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1BC" w:rsidRPr="008931BC" w:rsidRDefault="008931BC">
    <w:pPr>
      <w:pStyle w:val="Galvene"/>
      <w:rPr>
        <w:sz w:val="2"/>
        <w:szCs w:val="2"/>
      </w:rPr>
    </w:pPr>
    <w:r w:rsidRPr="008931BC">
      <w:rPr>
        <w:noProof/>
        <w:sz w:val="2"/>
        <w:szCs w:val="2"/>
      </w:rPr>
      <w:drawing>
        <wp:anchor distT="0" distB="0" distL="114300" distR="114300" simplePos="0" relativeHeight="251659264" behindDoc="1" locked="0" layoutInCell="1" allowOverlap="0" wp14:anchorId="46858CBD" wp14:editId="0C750E92">
          <wp:simplePos x="0" y="0"/>
          <wp:positionH relativeFrom="column">
            <wp:posOffset>-1057275</wp:posOffset>
          </wp:positionH>
          <wp:positionV relativeFrom="paragraph">
            <wp:posOffset>-457835</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D8724B"/>
    <w:multiLevelType w:val="multilevel"/>
    <w:tmpl w:val="A6D6E3B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5D8"/>
    <w:rsid w:val="00115013"/>
    <w:rsid w:val="00173696"/>
    <w:rsid w:val="002475BC"/>
    <w:rsid w:val="005976F2"/>
    <w:rsid w:val="00640AA5"/>
    <w:rsid w:val="008304F6"/>
    <w:rsid w:val="008931BC"/>
    <w:rsid w:val="00BC56C7"/>
    <w:rsid w:val="00C13783"/>
    <w:rsid w:val="00DF15D8"/>
    <w:rsid w:val="00FB1E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4FA35A-1DCF-47F2-A309-56FE646B7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F15D8"/>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DF15D8"/>
    <w:pPr>
      <w:ind w:left="720"/>
      <w:contextualSpacing/>
    </w:pPr>
  </w:style>
  <w:style w:type="paragraph" w:styleId="Nosaukums">
    <w:name w:val="Title"/>
    <w:basedOn w:val="Parasts"/>
    <w:link w:val="NosaukumsRakstz"/>
    <w:qFormat/>
    <w:rsid w:val="00DF15D8"/>
    <w:pPr>
      <w:jc w:val="center"/>
    </w:pPr>
    <w:rPr>
      <w:rFonts w:cs="Arial Unicode MS"/>
      <w:b/>
      <w:bCs/>
      <w:lang w:val="x-none" w:bidi="lo-LA"/>
    </w:rPr>
  </w:style>
  <w:style w:type="character" w:customStyle="1" w:styleId="NosaukumsRakstz">
    <w:name w:val="Nosaukums Rakstz."/>
    <w:basedOn w:val="Noklusjumarindkopasfonts"/>
    <w:link w:val="Nosaukums"/>
    <w:rsid w:val="00DF15D8"/>
    <w:rPr>
      <w:rFonts w:ascii="Times New Roman" w:eastAsia="Times New Roman" w:hAnsi="Times New Roman" w:cs="Arial Unicode MS"/>
      <w:b/>
      <w:bCs/>
      <w:sz w:val="24"/>
      <w:szCs w:val="24"/>
      <w:lang w:val="x-none" w:eastAsia="lv-LV" w:bidi="lo-LA"/>
    </w:rPr>
  </w:style>
  <w:style w:type="paragraph" w:styleId="Galvene">
    <w:name w:val="header"/>
    <w:basedOn w:val="Parasts"/>
    <w:link w:val="GalveneRakstz"/>
    <w:uiPriority w:val="99"/>
    <w:unhideWhenUsed/>
    <w:rsid w:val="008931BC"/>
    <w:pPr>
      <w:tabs>
        <w:tab w:val="center" w:pos="4153"/>
        <w:tab w:val="right" w:pos="8306"/>
      </w:tabs>
    </w:pPr>
  </w:style>
  <w:style w:type="character" w:customStyle="1" w:styleId="GalveneRakstz">
    <w:name w:val="Galvene Rakstz."/>
    <w:basedOn w:val="Noklusjumarindkopasfonts"/>
    <w:link w:val="Galvene"/>
    <w:uiPriority w:val="99"/>
    <w:rsid w:val="008931BC"/>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8931BC"/>
    <w:pPr>
      <w:tabs>
        <w:tab w:val="center" w:pos="4153"/>
        <w:tab w:val="right" w:pos="8306"/>
      </w:tabs>
    </w:pPr>
  </w:style>
  <w:style w:type="character" w:customStyle="1" w:styleId="KjeneRakstz">
    <w:name w:val="Kājene Rakstz."/>
    <w:basedOn w:val="Noklusjumarindkopasfonts"/>
    <w:link w:val="Kjene"/>
    <w:uiPriority w:val="99"/>
    <w:rsid w:val="008931BC"/>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5976F2"/>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976F2"/>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2614</Words>
  <Characters>1490</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5</cp:revision>
  <cp:lastPrinted>2016-03-03T13:18:00Z</cp:lastPrinted>
  <dcterms:created xsi:type="dcterms:W3CDTF">2016-03-01T14:32:00Z</dcterms:created>
  <dcterms:modified xsi:type="dcterms:W3CDTF">2016-03-03T13:26:00Z</dcterms:modified>
</cp:coreProperties>
</file>