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74" w:rsidRPr="003A4474" w:rsidRDefault="003A4474" w:rsidP="003A4474">
      <w:pPr>
        <w:snapToGrid w:val="0"/>
        <w:ind w:firstLine="0"/>
        <w:jc w:val="center"/>
        <w:rPr>
          <w:rFonts w:ascii="Times New Roman" w:eastAsia="Times New Roman" w:hAnsi="Times New Roman" w:cs="Times New Roman"/>
          <w:b/>
          <w:sz w:val="24"/>
          <w:szCs w:val="24"/>
          <w:lang w:eastAsia="lv-LV"/>
        </w:rPr>
      </w:pPr>
      <w:r w:rsidRPr="003A4474">
        <w:rPr>
          <w:rFonts w:ascii="Times New Roman" w:eastAsia="Times New Roman" w:hAnsi="Times New Roman" w:cs="Times New Roman"/>
          <w:sz w:val="24"/>
          <w:szCs w:val="24"/>
          <w:lang w:eastAsia="lv-LV"/>
        </w:rPr>
        <w:t>Limbažos</w:t>
      </w:r>
    </w:p>
    <w:p w:rsidR="003A4474" w:rsidRPr="003A4474" w:rsidRDefault="003A4474" w:rsidP="001F76AE">
      <w:pPr>
        <w:ind w:firstLine="0"/>
        <w:contextualSpacing/>
        <w:rPr>
          <w:rFonts w:ascii="Times New Roman" w:eastAsia="Calibri" w:hAnsi="Times New Roman" w:cs="Times New Roman"/>
          <w:b/>
          <w:caps/>
          <w:sz w:val="24"/>
          <w:szCs w:val="24"/>
          <w:lang w:eastAsia="lv-LV"/>
        </w:rPr>
      </w:pPr>
    </w:p>
    <w:p w:rsidR="003A4474" w:rsidRPr="003A4474" w:rsidRDefault="003A4474" w:rsidP="003A4474">
      <w:pPr>
        <w:ind w:left="550" w:hanging="323"/>
        <w:contextualSpacing/>
        <w:jc w:val="center"/>
        <w:rPr>
          <w:rFonts w:ascii="Times New Roman" w:eastAsia="Calibri" w:hAnsi="Times New Roman" w:cs="Times New Roman"/>
          <w:b/>
          <w:caps/>
          <w:sz w:val="24"/>
          <w:szCs w:val="24"/>
          <w:lang w:eastAsia="lv-LV"/>
        </w:rPr>
      </w:pPr>
      <w:r w:rsidRPr="003A4474">
        <w:rPr>
          <w:rFonts w:ascii="Times New Roman" w:eastAsia="Calibri" w:hAnsi="Times New Roman" w:cs="Times New Roman"/>
          <w:b/>
          <w:caps/>
          <w:sz w:val="24"/>
          <w:szCs w:val="24"/>
          <w:lang w:eastAsia="lv-LV"/>
        </w:rPr>
        <w:t>Paskaidrojuma raksts</w:t>
      </w:r>
    </w:p>
    <w:p w:rsidR="003A4474" w:rsidRPr="0087546A" w:rsidRDefault="003A4474" w:rsidP="003A4474">
      <w:pPr>
        <w:snapToGrid w:val="0"/>
        <w:ind w:firstLine="0"/>
        <w:jc w:val="center"/>
        <w:rPr>
          <w:rFonts w:ascii="Times New Roman" w:eastAsia="Times New Roman" w:hAnsi="Times New Roman" w:cs="Times New Roman"/>
          <w:b/>
          <w:sz w:val="24"/>
          <w:szCs w:val="24"/>
          <w:lang w:eastAsia="lv-LV"/>
        </w:rPr>
      </w:pPr>
      <w:r w:rsidRPr="0087546A">
        <w:rPr>
          <w:rFonts w:ascii="Times New Roman" w:eastAsia="Times New Roman" w:hAnsi="Times New Roman" w:cs="Times New Roman"/>
          <w:b/>
          <w:sz w:val="24"/>
          <w:szCs w:val="24"/>
          <w:lang w:eastAsia="lv-LV"/>
        </w:rPr>
        <w:t xml:space="preserve">2016.gada 25.februāra saistošajiem noteikumiem </w:t>
      </w:r>
    </w:p>
    <w:p w:rsidR="003A4474" w:rsidRPr="0087546A" w:rsidRDefault="003A4474" w:rsidP="003A4474">
      <w:pPr>
        <w:snapToGrid w:val="0"/>
        <w:ind w:firstLine="0"/>
        <w:jc w:val="center"/>
        <w:rPr>
          <w:rFonts w:ascii="Times New Roman" w:eastAsia="Times New Roman" w:hAnsi="Times New Roman" w:cs="Times New Roman"/>
          <w:b/>
          <w:sz w:val="24"/>
          <w:szCs w:val="24"/>
          <w:lang w:eastAsia="lv-LV"/>
        </w:rPr>
      </w:pPr>
      <w:r w:rsidRPr="0087546A">
        <w:rPr>
          <w:rFonts w:ascii="Times New Roman" w:eastAsia="Times New Roman" w:hAnsi="Times New Roman" w:cs="Times New Roman"/>
          <w:b/>
          <w:sz w:val="24"/>
          <w:szCs w:val="24"/>
          <w:lang w:eastAsia="lv-LV"/>
        </w:rPr>
        <w:t xml:space="preserve">Nr.9 </w:t>
      </w:r>
      <w:r w:rsidRPr="0087546A">
        <w:rPr>
          <w:rFonts w:ascii="Times New Roman" w:eastAsia="Times New Roman" w:hAnsi="Times New Roman" w:cs="Times New Roman"/>
          <w:b/>
          <w:bCs/>
          <w:sz w:val="24"/>
          <w:szCs w:val="24"/>
          <w:lang w:eastAsia="lv-LV"/>
        </w:rPr>
        <w:t>„</w:t>
      </w:r>
      <w:r w:rsidRPr="0087546A">
        <w:rPr>
          <w:rFonts w:ascii="Times New Roman" w:eastAsia="Times New Roman" w:hAnsi="Times New Roman" w:cs="Times New Roman"/>
          <w:b/>
          <w:sz w:val="24"/>
          <w:szCs w:val="24"/>
          <w:lang w:eastAsia="lv-LV"/>
        </w:rPr>
        <w:t>Grozījums Limbažu novada pašvaldības</w:t>
      </w:r>
      <w:r w:rsidR="008F551A">
        <w:rPr>
          <w:rFonts w:ascii="Times New Roman" w:eastAsia="Times New Roman" w:hAnsi="Times New Roman" w:cs="Times New Roman"/>
          <w:b/>
          <w:sz w:val="24"/>
          <w:szCs w:val="24"/>
          <w:lang w:eastAsia="lv-LV"/>
        </w:rPr>
        <w:t xml:space="preserve"> </w:t>
      </w:r>
      <w:bookmarkStart w:id="0" w:name="_GoBack"/>
      <w:bookmarkEnd w:id="0"/>
      <w:r w:rsidR="001F76AE" w:rsidRPr="0087546A">
        <w:rPr>
          <w:rFonts w:ascii="Times New Roman" w:eastAsia="Times New Roman" w:hAnsi="Times New Roman" w:cs="Times New Roman"/>
          <w:b/>
          <w:sz w:val="24"/>
          <w:szCs w:val="24"/>
          <w:lang w:eastAsia="lv-LV"/>
        </w:rPr>
        <w:t>2015.gada 25.jūnija</w:t>
      </w:r>
    </w:p>
    <w:p w:rsidR="003A4474" w:rsidRPr="0087546A" w:rsidRDefault="003A4474" w:rsidP="001F76AE">
      <w:pPr>
        <w:ind w:firstLine="0"/>
        <w:jc w:val="center"/>
        <w:rPr>
          <w:rFonts w:ascii="Times New Roman" w:eastAsia="Times New Roman" w:hAnsi="Times New Roman" w:cs="Times New Roman"/>
          <w:b/>
          <w:sz w:val="24"/>
          <w:szCs w:val="24"/>
          <w:lang w:eastAsia="lv-LV"/>
        </w:rPr>
      </w:pPr>
      <w:r w:rsidRPr="0087546A">
        <w:rPr>
          <w:rFonts w:ascii="Times New Roman" w:eastAsia="Times New Roman" w:hAnsi="Times New Roman" w:cs="Times New Roman"/>
          <w:b/>
          <w:sz w:val="24"/>
          <w:szCs w:val="24"/>
          <w:lang w:eastAsia="lv-LV"/>
        </w:rPr>
        <w:t>saistošajos noteikumos Nr.14</w:t>
      </w:r>
      <w:r w:rsidR="001F76AE" w:rsidRPr="0087546A">
        <w:rPr>
          <w:rFonts w:ascii="Times New Roman" w:eastAsia="Times New Roman" w:hAnsi="Times New Roman" w:cs="Times New Roman"/>
          <w:b/>
          <w:sz w:val="24"/>
          <w:szCs w:val="24"/>
          <w:lang w:eastAsia="lv-LV"/>
        </w:rPr>
        <w:t xml:space="preserve"> </w:t>
      </w:r>
      <w:r w:rsidRPr="0087546A">
        <w:rPr>
          <w:rFonts w:ascii="Times New Roman" w:eastAsia="Times New Roman" w:hAnsi="Times New Roman" w:cs="Times New Roman"/>
          <w:b/>
          <w:sz w:val="24"/>
          <w:szCs w:val="24"/>
          <w:lang w:eastAsia="lv-LV"/>
        </w:rPr>
        <w:t>„Par Limbažu novada pašvaldības nodevām””</w:t>
      </w:r>
    </w:p>
    <w:p w:rsidR="003A4474" w:rsidRPr="003A4474" w:rsidRDefault="003A4474" w:rsidP="003A4474">
      <w:pPr>
        <w:ind w:firstLine="0"/>
        <w:contextualSpacing/>
        <w:jc w:val="center"/>
        <w:rPr>
          <w:rFonts w:ascii="Times New Roman" w:eastAsia="Calibri" w:hAnsi="Times New Roman" w:cs="Times New Roman"/>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946"/>
      </w:tblGrid>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contextualSpacing/>
              <w:jc w:val="center"/>
              <w:rPr>
                <w:rFonts w:ascii="Times New Roman" w:eastAsia="Calibri" w:hAnsi="Times New Roman" w:cs="Times New Roman"/>
                <w:b/>
                <w:sz w:val="24"/>
                <w:szCs w:val="24"/>
                <w:lang w:eastAsia="lv-LV"/>
              </w:rPr>
            </w:pPr>
            <w:r w:rsidRPr="003A4474">
              <w:rPr>
                <w:rFonts w:ascii="Times New Roman" w:eastAsia="Calibri" w:hAnsi="Times New Roman" w:cs="Times New Roman"/>
                <w:b/>
                <w:sz w:val="24"/>
                <w:szCs w:val="24"/>
                <w:lang w:eastAsia="lv-LV"/>
              </w:rPr>
              <w:t xml:space="preserve">Paskaidrojuma </w:t>
            </w:r>
          </w:p>
          <w:p w:rsidR="003A4474" w:rsidRPr="003A4474" w:rsidRDefault="003A4474" w:rsidP="003A4474">
            <w:pPr>
              <w:ind w:firstLine="0"/>
              <w:contextualSpacing/>
              <w:jc w:val="center"/>
              <w:rPr>
                <w:rFonts w:ascii="Times New Roman" w:eastAsia="Calibri" w:hAnsi="Times New Roman" w:cs="Times New Roman"/>
                <w:b/>
                <w:sz w:val="24"/>
                <w:szCs w:val="24"/>
                <w:lang w:eastAsia="lv-LV"/>
              </w:rPr>
            </w:pPr>
            <w:r w:rsidRPr="003A4474">
              <w:rPr>
                <w:rFonts w:ascii="Times New Roman" w:eastAsia="Calibri" w:hAnsi="Times New Roman" w:cs="Times New Roman"/>
                <w:b/>
                <w:sz w:val="24"/>
                <w:szCs w:val="24"/>
                <w:lang w:eastAsia="lv-LV"/>
              </w:rPr>
              <w:t>raksta sadaļas</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contextualSpacing/>
              <w:jc w:val="center"/>
              <w:rPr>
                <w:rFonts w:ascii="Times New Roman" w:eastAsia="Calibri" w:hAnsi="Times New Roman" w:cs="Times New Roman"/>
                <w:b/>
                <w:sz w:val="24"/>
                <w:szCs w:val="24"/>
                <w:lang w:eastAsia="lv-LV"/>
              </w:rPr>
            </w:pPr>
            <w:r w:rsidRPr="003A4474">
              <w:rPr>
                <w:rFonts w:ascii="Times New Roman" w:eastAsia="Calibri" w:hAnsi="Times New Roman" w:cs="Times New Roman"/>
                <w:b/>
                <w:sz w:val="24"/>
                <w:szCs w:val="24"/>
                <w:lang w:eastAsia="lv-LV"/>
              </w:rPr>
              <w:t>Norādāmā informācija</w:t>
            </w:r>
          </w:p>
        </w:tc>
      </w:tr>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1F76AE" w:rsidP="003A4474">
            <w:pPr>
              <w:numPr>
                <w:ilvl w:val="4"/>
                <w:numId w:val="1"/>
              </w:numPr>
              <w:tabs>
                <w:tab w:val="left" w:pos="456"/>
              </w:tabs>
              <w:contextualSpacing/>
              <w:jc w:val="left"/>
              <w:rPr>
                <w:rFonts w:ascii="Times New Roman" w:eastAsia="Calibri" w:hAnsi="Times New Roman" w:cs="Times New Roman"/>
                <w:b/>
                <w:bCs/>
                <w:sz w:val="24"/>
                <w:szCs w:val="24"/>
                <w:lang w:eastAsia="lv-LV"/>
              </w:rPr>
            </w:pPr>
            <w:r w:rsidRPr="001F76AE">
              <w:rPr>
                <w:rFonts w:ascii="Times New Roman" w:eastAsia="Calibri" w:hAnsi="Times New Roman" w:cs="Times New Roman"/>
                <w:sz w:val="24"/>
                <w:szCs w:val="24"/>
                <w:lang w:eastAsia="lv-LV"/>
              </w:rPr>
              <w:t>N</w:t>
            </w:r>
            <w:r w:rsidR="003A4474" w:rsidRPr="003A4474">
              <w:rPr>
                <w:rFonts w:ascii="Times New Roman" w:eastAsia="Calibri" w:hAnsi="Times New Roman" w:cs="Times New Roman"/>
                <w:sz w:val="24"/>
                <w:szCs w:val="24"/>
                <w:lang w:eastAsia="lv-LV"/>
              </w:rPr>
              <w:t>epieciešamības pamatojums</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rPr>
                <w:rFonts w:ascii="Times New Roman" w:eastAsia="Times New Roman" w:hAnsi="Times New Roman" w:cs="Times New Roman"/>
                <w:sz w:val="24"/>
                <w:szCs w:val="24"/>
                <w:lang w:eastAsia="lv-LV"/>
              </w:rPr>
            </w:pPr>
            <w:r w:rsidRPr="003A4474">
              <w:rPr>
                <w:rFonts w:ascii="Times New Roman" w:eastAsia="Times New Roman" w:hAnsi="Times New Roman" w:cs="Times New Roman"/>
                <w:sz w:val="24"/>
                <w:szCs w:val="24"/>
                <w:lang w:eastAsia="lv-LV"/>
              </w:rPr>
              <w:t>Nepieciešams noteikt nodevu par būvniecības ieceres akceptu, veicot atzīmes paskaidrojuma rakstā vai apliecinājuma kartē.</w:t>
            </w:r>
          </w:p>
        </w:tc>
      </w:tr>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1F76AE" w:rsidP="001F76AE">
            <w:pPr>
              <w:numPr>
                <w:ilvl w:val="4"/>
                <w:numId w:val="1"/>
              </w:numPr>
              <w:tabs>
                <w:tab w:val="left" w:pos="456"/>
              </w:tabs>
              <w:contextualSpacing/>
              <w:jc w:val="left"/>
              <w:rPr>
                <w:rFonts w:ascii="Times New Roman" w:eastAsia="Calibri" w:hAnsi="Times New Roman" w:cs="Times New Roman"/>
                <w:sz w:val="24"/>
                <w:szCs w:val="24"/>
                <w:lang w:eastAsia="lv-LV"/>
              </w:rPr>
            </w:pPr>
            <w:r w:rsidRPr="001F76AE">
              <w:rPr>
                <w:rFonts w:ascii="Times New Roman" w:eastAsia="Calibri" w:hAnsi="Times New Roman" w:cs="Times New Roman"/>
                <w:sz w:val="24"/>
                <w:szCs w:val="24"/>
                <w:lang w:eastAsia="lv-LV"/>
              </w:rPr>
              <w:t>Īss</w:t>
            </w:r>
            <w:r w:rsidR="003A4474" w:rsidRPr="003A4474">
              <w:rPr>
                <w:rFonts w:ascii="Times New Roman" w:eastAsia="Calibri" w:hAnsi="Times New Roman" w:cs="Times New Roman"/>
                <w:sz w:val="24"/>
                <w:szCs w:val="24"/>
                <w:lang w:eastAsia="lv-LV"/>
              </w:rPr>
              <w:t xml:space="preserve"> satura izklāsts</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rPr>
                <w:rFonts w:ascii="Times New Roman" w:eastAsia="Times New Roman" w:hAnsi="Times New Roman" w:cs="Times New Roman"/>
                <w:sz w:val="24"/>
                <w:szCs w:val="24"/>
                <w:lang w:eastAsia="lv-LV"/>
              </w:rPr>
            </w:pPr>
            <w:r w:rsidRPr="003A4474">
              <w:rPr>
                <w:rFonts w:ascii="Times New Roman" w:eastAsia="Times New Roman" w:hAnsi="Times New Roman" w:cs="Times New Roman"/>
                <w:sz w:val="24"/>
                <w:szCs w:val="24"/>
                <w:lang w:eastAsia="lv-LV"/>
              </w:rPr>
              <w:t>Limbažu novada pašvaldības 2015.gada 25.jūnija saistošajos noteikumos Nr.14 „Par Limbažu novada pašvaldības nodevām” ir noteiktas nodevas par būvatļaujas izdošanu, taču nav noteiktas nodevas par būvniecības ieceres akceptu, izdarot atzīmes paskaidrojuma rakstā vai apliecinājuma kartē. Saistošo noteikumu grozījumi to nosaka.</w:t>
            </w:r>
          </w:p>
        </w:tc>
      </w:tr>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1F76AE">
            <w:pPr>
              <w:numPr>
                <w:ilvl w:val="4"/>
                <w:numId w:val="1"/>
              </w:numPr>
              <w:tabs>
                <w:tab w:val="left" w:pos="456"/>
              </w:tabs>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Informācija par plānoto ietekmi uz pašvaldības budžetu</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contextualSpacing/>
              <w:rPr>
                <w:rFonts w:ascii="Times New Roman" w:eastAsia="Calibri" w:hAnsi="Times New Roman" w:cs="Times New Roman"/>
                <w:b/>
                <w:bCs/>
                <w:sz w:val="24"/>
                <w:szCs w:val="24"/>
                <w:lang w:eastAsia="lv-LV"/>
              </w:rPr>
            </w:pPr>
            <w:r w:rsidRPr="003A4474">
              <w:rPr>
                <w:rFonts w:ascii="Times New Roman" w:eastAsia="Calibri" w:hAnsi="Times New Roman" w:cs="Times New Roman"/>
                <w:sz w:val="24"/>
                <w:szCs w:val="24"/>
                <w:lang w:eastAsia="lv-LV"/>
              </w:rPr>
              <w:t>Saistošie noteikumi nelielā apmērā pozitīvi ietekmēs pašvaldības budžetu.</w:t>
            </w:r>
          </w:p>
        </w:tc>
      </w:tr>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1F76AE">
            <w:pPr>
              <w:numPr>
                <w:ilvl w:val="4"/>
                <w:numId w:val="1"/>
              </w:numPr>
              <w:tabs>
                <w:tab w:val="left" w:pos="456"/>
              </w:tabs>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Informācija par plānoto ietekmi uz uzņēmējdarbības vidi pašvaldības teritorijā</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contextualSpacing/>
              <w:rPr>
                <w:rFonts w:ascii="Times New Roman" w:eastAsia="Calibri" w:hAnsi="Times New Roman" w:cs="Times New Roman"/>
                <w:bCs/>
                <w:sz w:val="24"/>
                <w:szCs w:val="24"/>
                <w:lang w:eastAsia="lv-LV"/>
              </w:rPr>
            </w:pPr>
            <w:r w:rsidRPr="003A4474">
              <w:rPr>
                <w:rFonts w:ascii="Times New Roman" w:eastAsia="Calibri" w:hAnsi="Times New Roman" w:cs="Times New Roman"/>
                <w:bCs/>
                <w:sz w:val="24"/>
                <w:szCs w:val="24"/>
                <w:lang w:eastAsia="lv-LV"/>
              </w:rPr>
              <w:t>Pamatojoties uz iekasētajiem līdzekļiem pašvaldība varēs sniegt kvalitatīvākus publiskos pakalpojumus.</w:t>
            </w:r>
          </w:p>
        </w:tc>
      </w:tr>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numPr>
                <w:ilvl w:val="4"/>
                <w:numId w:val="1"/>
              </w:numPr>
              <w:tabs>
                <w:tab w:val="left" w:pos="456"/>
              </w:tabs>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Informācija par administratīvajām procedūrām</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1F76AE" w:rsidP="001F76AE">
            <w:pPr>
              <w:ind w:firstLine="0"/>
              <w:contextualSpacing/>
              <w:rPr>
                <w:rFonts w:ascii="Times New Roman" w:eastAsia="Calibri" w:hAnsi="Times New Roman" w:cs="Times New Roman"/>
                <w:bCs/>
                <w:sz w:val="24"/>
                <w:szCs w:val="24"/>
                <w:lang w:eastAsia="lv-LV"/>
              </w:rPr>
            </w:pPr>
            <w:r w:rsidRPr="001F76AE">
              <w:rPr>
                <w:rFonts w:ascii="Times New Roman" w:eastAsia="Calibri" w:hAnsi="Times New Roman" w:cs="Times New Roman"/>
                <w:bCs/>
                <w:sz w:val="24"/>
                <w:szCs w:val="24"/>
                <w:lang w:eastAsia="lv-LV"/>
              </w:rPr>
              <w:t>Saistošie</w:t>
            </w:r>
            <w:r w:rsidR="003A4474" w:rsidRPr="003A4474">
              <w:rPr>
                <w:rFonts w:ascii="Times New Roman" w:eastAsia="Calibri" w:hAnsi="Times New Roman" w:cs="Times New Roman"/>
                <w:bCs/>
                <w:sz w:val="24"/>
                <w:szCs w:val="24"/>
                <w:lang w:eastAsia="lv-LV"/>
              </w:rPr>
              <w:t xml:space="preserve"> noteikum</w:t>
            </w:r>
            <w:r w:rsidRPr="001F76AE">
              <w:rPr>
                <w:rFonts w:ascii="Times New Roman" w:eastAsia="Calibri" w:hAnsi="Times New Roman" w:cs="Times New Roman"/>
                <w:bCs/>
                <w:sz w:val="24"/>
                <w:szCs w:val="24"/>
                <w:lang w:eastAsia="lv-LV"/>
              </w:rPr>
              <w:t>i</w:t>
            </w:r>
            <w:r w:rsidR="003A4474" w:rsidRPr="003A4474">
              <w:rPr>
                <w:rFonts w:ascii="Times New Roman" w:eastAsia="Calibri" w:hAnsi="Times New Roman" w:cs="Times New Roman"/>
                <w:bCs/>
                <w:sz w:val="24"/>
                <w:szCs w:val="24"/>
                <w:lang w:eastAsia="lv-LV"/>
              </w:rPr>
              <w:t xml:space="preserve"> neskar administratīvās procedūras un nemaina privātpersonām veicamās darbības līdzšinējo kārtību, taču regulē nodevu apmēru un iekasēšanas kārtību.</w:t>
            </w:r>
          </w:p>
        </w:tc>
      </w:tr>
      <w:tr w:rsidR="003A4474" w:rsidRPr="003A4474" w:rsidTr="00457D41">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numPr>
                <w:ilvl w:val="4"/>
                <w:numId w:val="1"/>
              </w:numPr>
              <w:tabs>
                <w:tab w:val="left" w:pos="456"/>
              </w:tabs>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Informācija par konsultācijām ar privātpersonām</w:t>
            </w:r>
          </w:p>
        </w:tc>
        <w:tc>
          <w:tcPr>
            <w:tcW w:w="6946" w:type="dxa"/>
            <w:tcBorders>
              <w:top w:val="single" w:sz="4" w:space="0" w:color="auto"/>
              <w:left w:val="single" w:sz="4" w:space="0" w:color="auto"/>
              <w:bottom w:val="single" w:sz="4" w:space="0" w:color="auto"/>
              <w:right w:val="single" w:sz="4" w:space="0" w:color="auto"/>
            </w:tcBorders>
            <w:vAlign w:val="center"/>
            <w:hideMark/>
          </w:tcPr>
          <w:p w:rsidR="003A4474" w:rsidRPr="003A4474" w:rsidRDefault="003A4474" w:rsidP="003A4474">
            <w:pPr>
              <w:ind w:firstLine="0"/>
              <w:contextualSpacing/>
              <w:rPr>
                <w:rFonts w:ascii="Times New Roman" w:eastAsia="Calibri" w:hAnsi="Times New Roman" w:cs="Times New Roman"/>
                <w:b/>
                <w:bCs/>
                <w:sz w:val="24"/>
                <w:szCs w:val="24"/>
                <w:lang w:eastAsia="lv-LV"/>
              </w:rPr>
            </w:pPr>
            <w:r w:rsidRPr="003A4474">
              <w:rPr>
                <w:rFonts w:ascii="Times New Roman" w:eastAsia="Calibri" w:hAnsi="Times New Roman" w:cs="Times New Roman"/>
                <w:sz w:val="24"/>
                <w:szCs w:val="24"/>
                <w:lang w:eastAsia="lv-LV"/>
              </w:rPr>
              <w:t>Saistošo noteikumu izstrādē netika veiktas konsultācijas ar privātpersonām. Saistošo noteikumu projekts ievietots pašvaldības mājas lapā www.limbazi.lv</w:t>
            </w:r>
            <w:r w:rsidR="0087546A">
              <w:rPr>
                <w:rFonts w:ascii="Times New Roman" w:eastAsia="Calibri" w:hAnsi="Times New Roman" w:cs="Times New Roman"/>
                <w:sz w:val="24"/>
                <w:szCs w:val="24"/>
                <w:lang w:eastAsia="lv-LV"/>
              </w:rPr>
              <w:t>.</w:t>
            </w:r>
          </w:p>
        </w:tc>
      </w:tr>
    </w:tbl>
    <w:p w:rsidR="003A4474" w:rsidRPr="003A4474" w:rsidRDefault="003A4474" w:rsidP="003A4474">
      <w:pPr>
        <w:ind w:firstLine="0"/>
        <w:rPr>
          <w:rFonts w:ascii="Times New Roman" w:eastAsia="Times New Roman" w:hAnsi="Times New Roman" w:cs="Times New Roman"/>
          <w:b/>
          <w:sz w:val="24"/>
          <w:szCs w:val="24"/>
          <w:lang w:eastAsia="lv-LV"/>
        </w:rPr>
      </w:pPr>
    </w:p>
    <w:p w:rsidR="003A4474" w:rsidRPr="003A4474" w:rsidRDefault="003A4474" w:rsidP="003A4474">
      <w:pPr>
        <w:ind w:firstLine="0"/>
        <w:rPr>
          <w:rFonts w:ascii="Times New Roman" w:eastAsia="Times New Roman" w:hAnsi="Times New Roman" w:cs="Times New Roman"/>
          <w:b/>
          <w:sz w:val="24"/>
          <w:szCs w:val="24"/>
          <w:lang w:eastAsia="lv-LV"/>
        </w:rPr>
      </w:pPr>
    </w:p>
    <w:p w:rsidR="003A4474" w:rsidRPr="003A4474" w:rsidRDefault="003A4474" w:rsidP="003A4474">
      <w:pPr>
        <w:ind w:firstLine="0"/>
        <w:rPr>
          <w:rFonts w:ascii="Times New Roman" w:eastAsia="Times New Roman" w:hAnsi="Times New Roman" w:cs="Times New Roman"/>
          <w:b/>
          <w:sz w:val="24"/>
          <w:szCs w:val="24"/>
          <w:lang w:eastAsia="lv-LV"/>
        </w:rPr>
      </w:pPr>
    </w:p>
    <w:p w:rsidR="003A4474" w:rsidRPr="003A4474" w:rsidRDefault="003A4474" w:rsidP="003A4474">
      <w:pPr>
        <w:ind w:right="43" w:firstLine="0"/>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Limbažu novada pašvaldības</w:t>
      </w:r>
    </w:p>
    <w:p w:rsidR="003A4474" w:rsidRPr="003A4474" w:rsidRDefault="003A4474" w:rsidP="003A4474">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Domes priekšsēdētājs</w:t>
      </w:r>
      <w:r w:rsidRPr="003A4474">
        <w:rPr>
          <w:rFonts w:ascii="Times New Roman" w:eastAsia="Calibri" w:hAnsi="Times New Roman" w:cs="Times New Roman"/>
          <w:sz w:val="24"/>
          <w:szCs w:val="24"/>
          <w:lang w:eastAsia="lv-LV"/>
        </w:rPr>
        <w:tab/>
      </w:r>
      <w:r w:rsidRPr="003A4474">
        <w:rPr>
          <w:rFonts w:ascii="Times New Roman" w:eastAsia="Calibri" w:hAnsi="Times New Roman" w:cs="Times New Roman"/>
          <w:sz w:val="24"/>
          <w:szCs w:val="24"/>
          <w:lang w:eastAsia="lv-LV"/>
        </w:rPr>
        <w:tab/>
      </w:r>
      <w:proofErr w:type="spellStart"/>
      <w:r w:rsidRPr="003A4474">
        <w:rPr>
          <w:rFonts w:ascii="Times New Roman" w:eastAsia="Calibri" w:hAnsi="Times New Roman" w:cs="Times New Roman"/>
          <w:sz w:val="24"/>
          <w:szCs w:val="24"/>
          <w:lang w:eastAsia="lv-LV"/>
        </w:rPr>
        <w:t>D.Zemmers</w:t>
      </w:r>
      <w:proofErr w:type="spellEnd"/>
    </w:p>
    <w:p w:rsidR="001F76AE" w:rsidRPr="001F76AE" w:rsidRDefault="001F76AE" w:rsidP="003A4474">
      <w:pPr>
        <w:ind w:right="-186" w:firstLine="0"/>
        <w:jc w:val="center"/>
        <w:rPr>
          <w:rFonts w:ascii="Times New Roman" w:eastAsia="Times New Roman" w:hAnsi="Times New Roman" w:cs="Times New Roman"/>
          <w:b/>
          <w:sz w:val="24"/>
          <w:szCs w:val="24"/>
          <w:lang w:eastAsia="lv-LV"/>
        </w:rPr>
        <w:sectPr w:rsidR="001F76AE" w:rsidRPr="001F76AE" w:rsidSect="001F76AE">
          <w:headerReference w:type="default" r:id="rId7"/>
          <w:headerReference w:type="first" r:id="rId8"/>
          <w:pgSz w:w="11906" w:h="16838" w:code="9"/>
          <w:pgMar w:top="1134" w:right="567" w:bottom="1134" w:left="1701" w:header="709" w:footer="709" w:gutter="0"/>
          <w:cols w:space="708"/>
          <w:titlePg/>
          <w:docGrid w:linePitch="360"/>
        </w:sectPr>
      </w:pPr>
    </w:p>
    <w:p w:rsidR="001F76AE" w:rsidRPr="001F76AE" w:rsidRDefault="001F76AE" w:rsidP="003A4474">
      <w:pPr>
        <w:ind w:right="-186" w:firstLine="0"/>
        <w:jc w:val="center"/>
        <w:rPr>
          <w:rFonts w:ascii="Times New Roman" w:eastAsia="Times New Roman" w:hAnsi="Times New Roman" w:cs="Times New Roman"/>
          <w:b/>
          <w:sz w:val="24"/>
          <w:szCs w:val="24"/>
          <w:lang w:eastAsia="lv-LV"/>
        </w:rPr>
      </w:pPr>
    </w:p>
    <w:p w:rsidR="003A4474" w:rsidRPr="003A4474" w:rsidRDefault="003A4474" w:rsidP="003A4474">
      <w:pPr>
        <w:ind w:right="-186" w:firstLine="0"/>
        <w:jc w:val="center"/>
        <w:rPr>
          <w:rFonts w:ascii="Times New Roman" w:eastAsia="Times New Roman" w:hAnsi="Times New Roman" w:cs="Times New Roman"/>
          <w:b/>
          <w:sz w:val="24"/>
          <w:szCs w:val="24"/>
          <w:lang w:eastAsia="lv-LV"/>
        </w:rPr>
      </w:pPr>
      <w:r w:rsidRPr="003A4474">
        <w:rPr>
          <w:rFonts w:ascii="Times New Roman" w:eastAsia="Times New Roman" w:hAnsi="Times New Roman" w:cs="Times New Roman"/>
          <w:b/>
          <w:sz w:val="24"/>
          <w:szCs w:val="24"/>
          <w:lang w:eastAsia="lv-LV"/>
        </w:rPr>
        <w:t>SAISTOŠIE NOTEIKUMI</w:t>
      </w:r>
    </w:p>
    <w:p w:rsidR="003A4474" w:rsidRPr="003A4474" w:rsidRDefault="003A4474" w:rsidP="003A4474">
      <w:pPr>
        <w:ind w:right="-186" w:firstLine="0"/>
        <w:jc w:val="center"/>
        <w:rPr>
          <w:rFonts w:ascii="Times New Roman" w:eastAsia="Times New Roman" w:hAnsi="Times New Roman" w:cs="Times New Roman"/>
          <w:b/>
          <w:sz w:val="24"/>
          <w:szCs w:val="24"/>
          <w:lang w:eastAsia="lv-LV"/>
        </w:rPr>
      </w:pPr>
      <w:r w:rsidRPr="003A4474">
        <w:rPr>
          <w:rFonts w:ascii="Times New Roman" w:eastAsia="Times New Roman" w:hAnsi="Times New Roman" w:cs="Times New Roman"/>
          <w:sz w:val="24"/>
          <w:szCs w:val="24"/>
          <w:lang w:eastAsia="lv-LV"/>
        </w:rPr>
        <w:t>Limbažos</w:t>
      </w:r>
    </w:p>
    <w:p w:rsidR="003A4474" w:rsidRPr="003A4474" w:rsidRDefault="003A4474" w:rsidP="003A4474">
      <w:pPr>
        <w:ind w:right="-186" w:firstLine="0"/>
        <w:jc w:val="left"/>
        <w:rPr>
          <w:rFonts w:ascii="Times New Roman" w:eastAsia="Times New Roman" w:hAnsi="Times New Roman" w:cs="Times New Roman"/>
          <w:sz w:val="24"/>
          <w:szCs w:val="24"/>
          <w:lang w:eastAsia="lv-LV"/>
        </w:rPr>
      </w:pPr>
    </w:p>
    <w:p w:rsidR="003A4474" w:rsidRPr="003A4474" w:rsidRDefault="003A4474" w:rsidP="003A4474">
      <w:pPr>
        <w:tabs>
          <w:tab w:val="left" w:pos="9072"/>
        </w:tabs>
        <w:ind w:right="43" w:firstLine="0"/>
        <w:jc w:val="left"/>
        <w:rPr>
          <w:rFonts w:ascii="Times New Roman" w:eastAsia="Times New Roman" w:hAnsi="Times New Roman" w:cs="Times New Roman"/>
          <w:sz w:val="24"/>
          <w:szCs w:val="24"/>
          <w:lang w:eastAsia="lv-LV"/>
        </w:rPr>
      </w:pPr>
      <w:r w:rsidRPr="003A4474">
        <w:rPr>
          <w:rFonts w:ascii="Times New Roman" w:eastAsia="Times New Roman" w:hAnsi="Times New Roman" w:cs="Times New Roman"/>
          <w:sz w:val="24"/>
          <w:szCs w:val="24"/>
          <w:lang w:eastAsia="lv-LV"/>
        </w:rPr>
        <w:t>2016.gada 25.februārī</w:t>
      </w:r>
      <w:r w:rsidRPr="003A4474">
        <w:rPr>
          <w:rFonts w:ascii="Times New Roman" w:eastAsia="Times New Roman" w:hAnsi="Times New Roman" w:cs="Times New Roman"/>
          <w:sz w:val="24"/>
          <w:szCs w:val="24"/>
          <w:lang w:eastAsia="lv-LV"/>
        </w:rPr>
        <w:tab/>
        <w:t>Nr.9</w:t>
      </w:r>
    </w:p>
    <w:p w:rsidR="003A4474" w:rsidRPr="003A4474" w:rsidRDefault="003A4474" w:rsidP="003A4474">
      <w:pPr>
        <w:ind w:right="-186" w:firstLine="0"/>
        <w:jc w:val="left"/>
        <w:rPr>
          <w:rFonts w:ascii="Times New Roman" w:eastAsia="Times New Roman" w:hAnsi="Times New Roman" w:cs="Times New Roman"/>
          <w:sz w:val="24"/>
          <w:szCs w:val="24"/>
          <w:lang w:eastAsia="lv-LV"/>
        </w:rPr>
      </w:pPr>
    </w:p>
    <w:p w:rsidR="003A4474" w:rsidRPr="003A4474" w:rsidRDefault="003A4474" w:rsidP="003A4474">
      <w:pPr>
        <w:ind w:right="-81" w:firstLine="0"/>
        <w:jc w:val="right"/>
        <w:rPr>
          <w:rFonts w:ascii="Times New Roman" w:eastAsia="Times New Roman" w:hAnsi="Times New Roman" w:cs="Times New Roman"/>
          <w:b/>
          <w:bCs/>
          <w:sz w:val="24"/>
          <w:szCs w:val="24"/>
          <w:lang w:eastAsia="lv-LV"/>
        </w:rPr>
      </w:pPr>
      <w:r w:rsidRPr="003A4474">
        <w:rPr>
          <w:rFonts w:ascii="Times New Roman" w:eastAsia="Times New Roman" w:hAnsi="Times New Roman" w:cs="Times New Roman"/>
          <w:b/>
          <w:sz w:val="24"/>
          <w:szCs w:val="24"/>
          <w:lang w:eastAsia="lv-LV"/>
        </w:rPr>
        <w:t>APSTIPRINĀTI</w:t>
      </w:r>
    </w:p>
    <w:p w:rsidR="003A4474" w:rsidRPr="003A4474" w:rsidRDefault="003A4474" w:rsidP="003A4474">
      <w:pPr>
        <w:autoSpaceDE w:val="0"/>
        <w:autoSpaceDN w:val="0"/>
        <w:adjustRightInd w:val="0"/>
        <w:ind w:firstLine="0"/>
        <w:jc w:val="right"/>
        <w:rPr>
          <w:rFonts w:ascii="Times New Roman" w:eastAsia="Times New Roman" w:hAnsi="Times New Roman" w:cs="Times New Roman"/>
          <w:b/>
          <w:bCs/>
          <w:sz w:val="24"/>
          <w:szCs w:val="24"/>
          <w:lang w:eastAsia="lv-LV"/>
        </w:rPr>
      </w:pPr>
      <w:r w:rsidRPr="003A4474">
        <w:rPr>
          <w:rFonts w:ascii="Times New Roman" w:eastAsia="Times New Roman" w:hAnsi="Times New Roman" w:cs="Times New Roman"/>
          <w:sz w:val="24"/>
          <w:szCs w:val="24"/>
          <w:lang w:eastAsia="lv-LV"/>
        </w:rPr>
        <w:t>ar Limbažu novada domes</w:t>
      </w:r>
    </w:p>
    <w:p w:rsidR="003A4474" w:rsidRPr="003A4474" w:rsidRDefault="003A4474" w:rsidP="003A4474">
      <w:pPr>
        <w:autoSpaceDE w:val="0"/>
        <w:autoSpaceDN w:val="0"/>
        <w:adjustRightInd w:val="0"/>
        <w:ind w:firstLine="0"/>
        <w:jc w:val="right"/>
        <w:rPr>
          <w:rFonts w:ascii="Times New Roman" w:eastAsia="Times New Roman" w:hAnsi="Times New Roman" w:cs="Times New Roman"/>
          <w:b/>
          <w:bCs/>
          <w:sz w:val="24"/>
          <w:szCs w:val="24"/>
          <w:lang w:eastAsia="lv-LV"/>
        </w:rPr>
      </w:pPr>
      <w:r w:rsidRPr="003A4474">
        <w:rPr>
          <w:rFonts w:ascii="Times New Roman" w:eastAsia="Times New Roman" w:hAnsi="Times New Roman" w:cs="Times New Roman"/>
          <w:sz w:val="24"/>
          <w:szCs w:val="24"/>
          <w:lang w:eastAsia="lv-LV"/>
        </w:rPr>
        <w:t>25.02.2016. sēdes</w:t>
      </w:r>
      <w:r w:rsidRPr="003A4474">
        <w:rPr>
          <w:rFonts w:ascii="Times New Roman" w:eastAsia="Times New Roman" w:hAnsi="Times New Roman" w:cs="Times New Roman"/>
          <w:b/>
          <w:bCs/>
          <w:sz w:val="24"/>
          <w:szCs w:val="24"/>
          <w:lang w:eastAsia="lv-LV"/>
        </w:rPr>
        <w:t xml:space="preserve"> </w:t>
      </w:r>
      <w:r w:rsidRPr="003A4474">
        <w:rPr>
          <w:rFonts w:ascii="Times New Roman" w:eastAsia="Times New Roman" w:hAnsi="Times New Roman" w:cs="Times New Roman"/>
          <w:sz w:val="24"/>
          <w:szCs w:val="24"/>
          <w:lang w:eastAsia="lv-LV"/>
        </w:rPr>
        <w:t xml:space="preserve">lēmumu </w:t>
      </w:r>
    </w:p>
    <w:p w:rsidR="003A4474" w:rsidRPr="003A4474" w:rsidRDefault="003A4474" w:rsidP="003A4474">
      <w:pPr>
        <w:autoSpaceDE w:val="0"/>
        <w:autoSpaceDN w:val="0"/>
        <w:adjustRightInd w:val="0"/>
        <w:ind w:firstLine="0"/>
        <w:jc w:val="right"/>
        <w:rPr>
          <w:rFonts w:ascii="Times New Roman" w:eastAsia="Times New Roman" w:hAnsi="Times New Roman" w:cs="Times New Roman"/>
          <w:b/>
          <w:bCs/>
          <w:sz w:val="24"/>
          <w:szCs w:val="24"/>
          <w:lang w:eastAsia="lv-LV"/>
        </w:rPr>
      </w:pPr>
      <w:r w:rsidRPr="001F76AE">
        <w:rPr>
          <w:rFonts w:ascii="Times New Roman" w:eastAsia="Times New Roman" w:hAnsi="Times New Roman" w:cs="Times New Roman"/>
          <w:sz w:val="24"/>
          <w:szCs w:val="24"/>
          <w:lang w:eastAsia="lv-LV"/>
        </w:rPr>
        <w:t>(protokols Nr.5, 32</w:t>
      </w:r>
      <w:r w:rsidRPr="003A4474">
        <w:rPr>
          <w:rFonts w:ascii="Times New Roman" w:eastAsia="Times New Roman" w:hAnsi="Times New Roman" w:cs="Times New Roman"/>
          <w:sz w:val="24"/>
          <w:szCs w:val="24"/>
          <w:lang w:eastAsia="lv-LV"/>
        </w:rPr>
        <w:t>.§)</w:t>
      </w:r>
    </w:p>
    <w:p w:rsidR="003A4474" w:rsidRPr="003A4474" w:rsidRDefault="003A4474" w:rsidP="003A4474">
      <w:pPr>
        <w:ind w:firstLine="0"/>
        <w:contextualSpacing/>
        <w:jc w:val="left"/>
        <w:rPr>
          <w:rFonts w:ascii="Times New Roman" w:eastAsia="Times New Roman" w:hAnsi="Times New Roman" w:cs="Times New Roman"/>
          <w:b/>
          <w:sz w:val="24"/>
          <w:szCs w:val="24"/>
          <w:lang w:eastAsia="lv-LV"/>
        </w:rPr>
      </w:pPr>
    </w:p>
    <w:p w:rsidR="003A4474" w:rsidRPr="003A4474" w:rsidRDefault="003A4474" w:rsidP="003A4474">
      <w:pPr>
        <w:ind w:left="720" w:firstLine="0"/>
        <w:contextualSpacing/>
        <w:jc w:val="center"/>
        <w:rPr>
          <w:rFonts w:ascii="Times New Roman" w:eastAsia="Times New Roman" w:hAnsi="Times New Roman" w:cs="Times New Roman"/>
          <w:b/>
          <w:sz w:val="28"/>
          <w:szCs w:val="28"/>
          <w:lang w:eastAsia="lv-LV"/>
        </w:rPr>
      </w:pPr>
      <w:r w:rsidRPr="003A4474">
        <w:rPr>
          <w:rFonts w:ascii="Times New Roman" w:eastAsia="Times New Roman" w:hAnsi="Times New Roman" w:cs="Times New Roman"/>
          <w:b/>
          <w:sz w:val="28"/>
          <w:szCs w:val="28"/>
          <w:lang w:eastAsia="lv-LV"/>
        </w:rPr>
        <w:t xml:space="preserve">Grozījums Limbažu novada pašvaldības 2015.gada 25.jūnija saistošajos noteikumos Nr.14 „Par Limbažu novada pašvaldības nodevām” </w:t>
      </w:r>
    </w:p>
    <w:p w:rsidR="003A4474" w:rsidRPr="003A4474" w:rsidRDefault="003A4474" w:rsidP="003A4474">
      <w:pPr>
        <w:ind w:firstLine="0"/>
        <w:jc w:val="right"/>
        <w:rPr>
          <w:rFonts w:ascii="Times New Roman" w:eastAsia="Times New Roman" w:hAnsi="Times New Roman" w:cs="Times New Roman"/>
          <w:b/>
          <w:sz w:val="24"/>
          <w:szCs w:val="24"/>
          <w:lang w:eastAsia="lv-LV"/>
        </w:rPr>
      </w:pPr>
    </w:p>
    <w:p w:rsidR="008C274A" w:rsidRPr="008F1E85" w:rsidRDefault="008C274A" w:rsidP="008C274A">
      <w:pPr>
        <w:ind w:right="-1"/>
        <w:jc w:val="right"/>
        <w:rPr>
          <w:rFonts w:ascii="Times New Roman" w:eastAsia="Times New Roman" w:hAnsi="Times New Roman"/>
          <w:i/>
          <w:iCs/>
          <w:lang w:eastAsia="lv-LV"/>
        </w:rPr>
      </w:pPr>
      <w:r w:rsidRPr="008F1E85">
        <w:rPr>
          <w:rFonts w:ascii="Times New Roman" w:eastAsia="Times New Roman" w:hAnsi="Times New Roman"/>
          <w:i/>
          <w:iCs/>
          <w:lang w:eastAsia="lv-LV"/>
        </w:rPr>
        <w:t>Izdoti saskaņā ar likuma „Par pašvaldībām” 14.panta trešo daļu,</w:t>
      </w:r>
      <w:r w:rsidRPr="008F1E85">
        <w:rPr>
          <w:rFonts w:ascii="Times New Roman" w:eastAsia="Times New Roman" w:hAnsi="Times New Roman"/>
          <w:i/>
          <w:iCs/>
          <w:lang w:eastAsia="lv-LV"/>
        </w:rPr>
        <w:br/>
        <w:t xml:space="preserve">likuma „Par nodokļiem un nodevām”12.panta pirmās daļas </w:t>
      </w:r>
      <w:r w:rsidRPr="008F1E85">
        <w:rPr>
          <w:rFonts w:ascii="Times New Roman" w:eastAsia="Times New Roman" w:hAnsi="Times New Roman"/>
          <w:i/>
          <w:iCs/>
          <w:lang w:eastAsia="lv-LV"/>
        </w:rPr>
        <w:br/>
        <w:t xml:space="preserve">1., 2., 4., 5., 7. un 10.punktu un Ministru kabineta </w:t>
      </w:r>
    </w:p>
    <w:p w:rsidR="008C274A" w:rsidRPr="008F1E85" w:rsidRDefault="008C274A" w:rsidP="008C274A">
      <w:pPr>
        <w:ind w:right="-1"/>
        <w:jc w:val="right"/>
        <w:rPr>
          <w:rFonts w:ascii="Times New Roman" w:eastAsia="Times New Roman" w:hAnsi="Times New Roman"/>
          <w:i/>
          <w:iCs/>
          <w:lang w:eastAsia="lv-LV"/>
        </w:rPr>
      </w:pPr>
      <w:r w:rsidRPr="008F1E85">
        <w:rPr>
          <w:rFonts w:ascii="Times New Roman" w:eastAsia="Times New Roman" w:hAnsi="Times New Roman"/>
          <w:i/>
          <w:iCs/>
          <w:lang w:eastAsia="lv-LV"/>
        </w:rPr>
        <w:t>2005.gada 28.jūnija noteikumu Nr.480 „Noteikumi par kārtību,</w:t>
      </w:r>
    </w:p>
    <w:p w:rsidR="008C274A" w:rsidRPr="008F1E85" w:rsidRDefault="008C274A" w:rsidP="008C274A">
      <w:pPr>
        <w:ind w:right="-1"/>
        <w:jc w:val="right"/>
        <w:rPr>
          <w:rFonts w:ascii="Times New Roman" w:eastAsia="Times New Roman" w:hAnsi="Times New Roman"/>
          <w:i/>
          <w:iCs/>
          <w:lang w:eastAsia="lv-LV"/>
        </w:rPr>
      </w:pPr>
      <w:r w:rsidRPr="008F1E85">
        <w:rPr>
          <w:rFonts w:ascii="Times New Roman" w:eastAsia="Times New Roman" w:hAnsi="Times New Roman"/>
          <w:i/>
          <w:iCs/>
          <w:lang w:eastAsia="lv-LV"/>
        </w:rPr>
        <w:t xml:space="preserve"> kādā pašvaldības var uzlikt pašvaldību nodevas” 3. un 16.</w:t>
      </w:r>
      <w:r w:rsidRPr="008F1E85">
        <w:rPr>
          <w:rFonts w:ascii="Times New Roman" w:eastAsia="Times New Roman" w:hAnsi="Times New Roman"/>
          <w:i/>
          <w:iCs/>
          <w:vertAlign w:val="superscript"/>
          <w:lang w:eastAsia="lv-LV"/>
        </w:rPr>
        <w:t>1</w:t>
      </w:r>
      <w:r w:rsidRPr="008F1E85">
        <w:rPr>
          <w:rFonts w:ascii="Times New Roman" w:eastAsia="Times New Roman" w:hAnsi="Times New Roman"/>
          <w:i/>
          <w:iCs/>
          <w:lang w:eastAsia="lv-LV"/>
        </w:rPr>
        <w:t>punktu</w:t>
      </w:r>
    </w:p>
    <w:p w:rsidR="008C274A" w:rsidRPr="00FA0584" w:rsidRDefault="008C274A" w:rsidP="008C274A">
      <w:pPr>
        <w:ind w:right="-1"/>
        <w:jc w:val="right"/>
        <w:rPr>
          <w:rFonts w:ascii="Times New Roman" w:eastAsia="Times New Roman" w:hAnsi="Times New Roman"/>
          <w:i/>
          <w:iCs/>
          <w:sz w:val="24"/>
          <w:szCs w:val="24"/>
          <w:lang w:eastAsia="lv-LV"/>
        </w:rPr>
      </w:pPr>
    </w:p>
    <w:p w:rsidR="003A4474" w:rsidRPr="003A4474" w:rsidRDefault="003A4474" w:rsidP="00202E82">
      <w:pPr>
        <w:numPr>
          <w:ilvl w:val="0"/>
          <w:numId w:val="2"/>
        </w:numPr>
        <w:ind w:left="567" w:hanging="567"/>
        <w:contextualSpacing/>
        <w:rPr>
          <w:rFonts w:ascii="Times New Roman" w:eastAsia="Times New Roman" w:hAnsi="Times New Roman" w:cs="Times New Roman"/>
          <w:sz w:val="24"/>
          <w:szCs w:val="24"/>
          <w:lang w:eastAsia="lv-LV"/>
        </w:rPr>
      </w:pPr>
      <w:r w:rsidRPr="003A4474">
        <w:rPr>
          <w:rFonts w:ascii="Times New Roman" w:eastAsia="Times New Roman" w:hAnsi="Times New Roman" w:cs="Times New Roman"/>
          <w:bCs/>
          <w:sz w:val="24"/>
          <w:szCs w:val="24"/>
          <w:lang w:eastAsia="lv-LV"/>
        </w:rPr>
        <w:t>Izdarīt Limbažu novada pašvaldības 2015.gada 25.jūnija saistošajos noteikumos Nr.14 „Par</w:t>
      </w:r>
      <w:r w:rsidRPr="003A4474">
        <w:rPr>
          <w:rFonts w:ascii="Times New Roman" w:eastAsia="Times New Roman" w:hAnsi="Times New Roman" w:cs="Times New Roman"/>
          <w:sz w:val="24"/>
          <w:szCs w:val="24"/>
          <w:lang w:eastAsia="lv-LV"/>
        </w:rPr>
        <w:t xml:space="preserve"> Limbažu novada pašvaldības nodevām” grozījumu </w:t>
      </w:r>
      <w:r w:rsidRPr="003A4474">
        <w:rPr>
          <w:rFonts w:ascii="Times New Roman" w:eastAsia="Times New Roman" w:hAnsi="Times New Roman" w:cs="Times New Roman"/>
          <w:bCs/>
          <w:sz w:val="24"/>
          <w:szCs w:val="24"/>
          <w:lang w:eastAsia="lv-LV"/>
        </w:rPr>
        <w:t>un papildināt noteikumu 29.punktu ar 29.10.apakšpunktu šādā redakcijā</w:t>
      </w:r>
      <w:r w:rsidRPr="003A4474">
        <w:rPr>
          <w:rFonts w:ascii="Times New Roman" w:eastAsia="Times New Roman" w:hAnsi="Times New Roman" w:cs="Times New Roman"/>
          <w:sz w:val="24"/>
          <w:szCs w:val="24"/>
          <w:lang w:eastAsia="lv-LV"/>
        </w:rPr>
        <w:t>:</w:t>
      </w:r>
    </w:p>
    <w:p w:rsidR="003A4474" w:rsidRPr="003A4474" w:rsidRDefault="003A4474" w:rsidP="00202E82">
      <w:pPr>
        <w:tabs>
          <w:tab w:val="left" w:pos="1276"/>
        </w:tabs>
        <w:ind w:left="1276" w:hanging="709"/>
        <w:contextualSpacing/>
        <w:rPr>
          <w:rFonts w:ascii="Times New Roman" w:eastAsia="Times New Roman" w:hAnsi="Times New Roman" w:cs="Times New Roman"/>
          <w:sz w:val="24"/>
          <w:szCs w:val="24"/>
          <w:lang w:eastAsia="lv-LV"/>
        </w:rPr>
      </w:pPr>
      <w:r w:rsidRPr="003A4474">
        <w:rPr>
          <w:rFonts w:ascii="Times New Roman" w:eastAsia="Times New Roman" w:hAnsi="Times New Roman" w:cs="Times New Roman"/>
          <w:sz w:val="24"/>
          <w:szCs w:val="24"/>
          <w:lang w:eastAsia="lv-LV"/>
        </w:rPr>
        <w:t>„29.10.</w:t>
      </w:r>
      <w:r w:rsidRPr="003A4474">
        <w:rPr>
          <w:rFonts w:ascii="Times New Roman" w:eastAsia="Times New Roman" w:hAnsi="Times New Roman" w:cs="Times New Roman"/>
          <w:sz w:val="24"/>
          <w:szCs w:val="24"/>
          <w:lang w:eastAsia="lv-LV"/>
        </w:rPr>
        <w:tab/>
        <w:t>Būvniecības ieceres akcepts, atzīmes veikšana paskaidrojuma rakstā vai apliecinājuma kartē: 10 EUR”;</w:t>
      </w:r>
    </w:p>
    <w:p w:rsidR="003A4474" w:rsidRPr="003A4474" w:rsidRDefault="003A4474" w:rsidP="00202E82">
      <w:pPr>
        <w:numPr>
          <w:ilvl w:val="3"/>
          <w:numId w:val="1"/>
        </w:numPr>
        <w:tabs>
          <w:tab w:val="clear" w:pos="360"/>
          <w:tab w:val="num" w:pos="1134"/>
        </w:tabs>
        <w:ind w:left="567" w:hanging="567"/>
        <w:contextualSpacing/>
        <w:rPr>
          <w:rFonts w:ascii="Times New Roman" w:eastAsia="Times New Roman" w:hAnsi="Times New Roman" w:cs="Times New Roman"/>
          <w:sz w:val="24"/>
          <w:szCs w:val="24"/>
          <w:lang w:eastAsia="lv-LV"/>
        </w:rPr>
      </w:pPr>
      <w:r w:rsidRPr="003A4474">
        <w:rPr>
          <w:rFonts w:ascii="Times New Roman" w:eastAsia="Times New Roman" w:hAnsi="Times New Roman" w:cs="Times New Roman"/>
          <w:sz w:val="24"/>
          <w:szCs w:val="24"/>
          <w:lang w:eastAsia="lv-LV"/>
        </w:rPr>
        <w:t>Saistošie noteikumi stājas spēkā nākamajā dienā pēc to pilna teksta publicēšanas bezmaksas informatīvajā izdevumā „Limbažu Novada Ziņas”, un tie ir brīvi pieejami Limbažu novada pašvaldības administratīvajā ēkā un pagastu pārvaldēs.</w:t>
      </w:r>
    </w:p>
    <w:p w:rsidR="003A4474" w:rsidRPr="003A4474" w:rsidRDefault="003A4474" w:rsidP="003A4474">
      <w:pPr>
        <w:ind w:firstLine="0"/>
        <w:rPr>
          <w:rFonts w:ascii="Times New Roman" w:eastAsia="Times New Roman" w:hAnsi="Times New Roman" w:cs="Times New Roman"/>
          <w:b/>
          <w:sz w:val="24"/>
          <w:szCs w:val="24"/>
          <w:lang w:eastAsia="lv-LV"/>
        </w:rPr>
      </w:pPr>
    </w:p>
    <w:p w:rsidR="003A4474" w:rsidRPr="003A4474" w:rsidRDefault="003A4474" w:rsidP="003A4474">
      <w:pPr>
        <w:ind w:right="43" w:firstLine="0"/>
        <w:contextualSpacing/>
        <w:jc w:val="left"/>
        <w:rPr>
          <w:rFonts w:ascii="Times New Roman" w:eastAsia="Times New Roman" w:hAnsi="Times New Roman" w:cs="Times New Roman"/>
          <w:b/>
          <w:sz w:val="24"/>
          <w:szCs w:val="24"/>
          <w:lang w:eastAsia="lv-LV"/>
        </w:rPr>
      </w:pPr>
    </w:p>
    <w:p w:rsidR="003A4474" w:rsidRPr="003A4474" w:rsidRDefault="003A4474" w:rsidP="003A4474">
      <w:pPr>
        <w:ind w:right="43" w:firstLine="0"/>
        <w:contextualSpacing/>
        <w:jc w:val="left"/>
        <w:rPr>
          <w:rFonts w:ascii="Times New Roman" w:eastAsia="Times New Roman" w:hAnsi="Times New Roman" w:cs="Times New Roman"/>
          <w:b/>
          <w:sz w:val="24"/>
          <w:szCs w:val="24"/>
          <w:lang w:eastAsia="lv-LV"/>
        </w:rPr>
      </w:pPr>
    </w:p>
    <w:p w:rsidR="003A4474" w:rsidRPr="003A4474" w:rsidRDefault="003A4474" w:rsidP="003A4474">
      <w:pPr>
        <w:ind w:right="43" w:firstLine="0"/>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Limbažu novada pašvaldības</w:t>
      </w:r>
    </w:p>
    <w:p w:rsidR="003A4474" w:rsidRPr="003A4474" w:rsidRDefault="003A4474" w:rsidP="003A4474">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3A4474">
        <w:rPr>
          <w:rFonts w:ascii="Times New Roman" w:eastAsia="Calibri" w:hAnsi="Times New Roman" w:cs="Times New Roman"/>
          <w:sz w:val="24"/>
          <w:szCs w:val="24"/>
          <w:lang w:eastAsia="lv-LV"/>
        </w:rPr>
        <w:t>Domes priekšsēdētājs</w:t>
      </w:r>
      <w:r w:rsidRPr="003A4474">
        <w:rPr>
          <w:rFonts w:ascii="Times New Roman" w:eastAsia="Calibri" w:hAnsi="Times New Roman" w:cs="Times New Roman"/>
          <w:sz w:val="24"/>
          <w:szCs w:val="24"/>
          <w:lang w:eastAsia="lv-LV"/>
        </w:rPr>
        <w:tab/>
      </w:r>
      <w:r w:rsidRPr="003A4474">
        <w:rPr>
          <w:rFonts w:ascii="Times New Roman" w:eastAsia="Calibri" w:hAnsi="Times New Roman" w:cs="Times New Roman"/>
          <w:sz w:val="24"/>
          <w:szCs w:val="24"/>
          <w:lang w:eastAsia="lv-LV"/>
        </w:rPr>
        <w:tab/>
      </w:r>
      <w:proofErr w:type="spellStart"/>
      <w:r w:rsidRPr="003A4474">
        <w:rPr>
          <w:rFonts w:ascii="Times New Roman" w:eastAsia="Calibri" w:hAnsi="Times New Roman" w:cs="Times New Roman"/>
          <w:sz w:val="24"/>
          <w:szCs w:val="24"/>
          <w:lang w:eastAsia="lv-LV"/>
        </w:rPr>
        <w:t>D.Zemmers</w:t>
      </w:r>
      <w:proofErr w:type="spellEnd"/>
    </w:p>
    <w:p w:rsidR="00640AA5" w:rsidRPr="001F76AE" w:rsidRDefault="00640AA5">
      <w:pPr>
        <w:rPr>
          <w:sz w:val="24"/>
          <w:szCs w:val="24"/>
        </w:rPr>
      </w:pPr>
    </w:p>
    <w:sectPr w:rsidR="00640AA5" w:rsidRPr="001F76AE" w:rsidSect="001F76AE">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CD8" w:rsidRDefault="006E6CD8" w:rsidP="003A4474">
      <w:r>
        <w:separator/>
      </w:r>
    </w:p>
  </w:endnote>
  <w:endnote w:type="continuationSeparator" w:id="0">
    <w:p w:rsidR="006E6CD8" w:rsidRDefault="006E6CD8" w:rsidP="003A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CD8" w:rsidRDefault="006E6CD8" w:rsidP="003A4474">
      <w:r>
        <w:separator/>
      </w:r>
    </w:p>
  </w:footnote>
  <w:footnote w:type="continuationSeparator" w:id="0">
    <w:p w:rsidR="006E6CD8" w:rsidRDefault="006E6CD8" w:rsidP="003A4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290113"/>
      <w:docPartObj>
        <w:docPartGallery w:val="Page Numbers (Top of Page)"/>
        <w:docPartUnique/>
      </w:docPartObj>
    </w:sdtPr>
    <w:sdtEndPr>
      <w:rPr>
        <w:rFonts w:ascii="Times New Roman" w:hAnsi="Times New Roman" w:cs="Times New Roman"/>
        <w:sz w:val="24"/>
        <w:szCs w:val="24"/>
      </w:rPr>
    </w:sdtEndPr>
    <w:sdtContent>
      <w:p w:rsidR="003A4474" w:rsidRPr="001F76AE" w:rsidRDefault="001F76AE" w:rsidP="001F76AE">
        <w:pPr>
          <w:pStyle w:val="Galvene"/>
          <w:ind w:firstLine="0"/>
          <w:jc w:val="center"/>
          <w:rPr>
            <w:rFonts w:ascii="Times New Roman" w:hAnsi="Times New Roman" w:cs="Times New Roman"/>
            <w:sz w:val="24"/>
            <w:szCs w:val="24"/>
          </w:rPr>
        </w:pPr>
        <w:r w:rsidRPr="001F76AE">
          <w:rPr>
            <w:rFonts w:ascii="Times New Roman" w:hAnsi="Times New Roman" w:cs="Times New Roman"/>
            <w:sz w:val="24"/>
            <w:szCs w:val="24"/>
          </w:rPr>
          <w:fldChar w:fldCharType="begin"/>
        </w:r>
        <w:r w:rsidRPr="001F76AE">
          <w:rPr>
            <w:rFonts w:ascii="Times New Roman" w:hAnsi="Times New Roman" w:cs="Times New Roman"/>
            <w:sz w:val="24"/>
            <w:szCs w:val="24"/>
          </w:rPr>
          <w:instrText>PAGE   \* MERGEFORMAT</w:instrText>
        </w:r>
        <w:r w:rsidRPr="001F76AE">
          <w:rPr>
            <w:rFonts w:ascii="Times New Roman" w:hAnsi="Times New Roman" w:cs="Times New Roman"/>
            <w:sz w:val="24"/>
            <w:szCs w:val="24"/>
          </w:rPr>
          <w:fldChar w:fldCharType="separate"/>
        </w:r>
        <w:r>
          <w:rPr>
            <w:rFonts w:ascii="Times New Roman" w:hAnsi="Times New Roman" w:cs="Times New Roman"/>
            <w:noProof/>
            <w:sz w:val="24"/>
            <w:szCs w:val="24"/>
          </w:rPr>
          <w:t>2</w:t>
        </w:r>
        <w:r w:rsidRPr="001F76AE">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6AE" w:rsidRPr="001F76AE" w:rsidRDefault="001F76AE">
    <w:pPr>
      <w:pStyle w:val="Galvene"/>
      <w:rPr>
        <w:sz w:val="2"/>
        <w:szCs w:val="2"/>
      </w:rPr>
    </w:pPr>
    <w:r w:rsidRPr="001F76AE">
      <w:rPr>
        <w:noProof/>
        <w:sz w:val="2"/>
        <w:szCs w:val="2"/>
        <w:lang w:eastAsia="lv-LV"/>
      </w:rPr>
      <w:drawing>
        <wp:anchor distT="0" distB="0" distL="114300" distR="114300" simplePos="0" relativeHeight="251659264" behindDoc="1" locked="0" layoutInCell="1" allowOverlap="0" wp14:anchorId="6948D182" wp14:editId="299A59BF">
          <wp:simplePos x="0" y="0"/>
          <wp:positionH relativeFrom="column">
            <wp:posOffset>-1066800</wp:posOffset>
          </wp:positionH>
          <wp:positionV relativeFrom="paragraph">
            <wp:posOffset>-448310</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377B4"/>
    <w:multiLevelType w:val="multilevel"/>
    <w:tmpl w:val="CA1AEE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rPr>
        <w:b w:val="0"/>
      </w:r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 w15:restartNumberingAfterBreak="0">
    <w:nsid w:val="589628AB"/>
    <w:multiLevelType w:val="multilevel"/>
    <w:tmpl w:val="A6D6E3B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474"/>
    <w:rsid w:val="000D1ABB"/>
    <w:rsid w:val="00115013"/>
    <w:rsid w:val="001F76AE"/>
    <w:rsid w:val="00202E82"/>
    <w:rsid w:val="003A4474"/>
    <w:rsid w:val="00640AA5"/>
    <w:rsid w:val="006E6CD8"/>
    <w:rsid w:val="00712A13"/>
    <w:rsid w:val="0087546A"/>
    <w:rsid w:val="008C274A"/>
    <w:rsid w:val="008F1E85"/>
    <w:rsid w:val="008F551A"/>
    <w:rsid w:val="00BB17B5"/>
    <w:rsid w:val="00E56821"/>
    <w:rsid w:val="00FC48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5653B-4207-4C04-9866-089ACA9D1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A4474"/>
    <w:pPr>
      <w:tabs>
        <w:tab w:val="center" w:pos="4153"/>
        <w:tab w:val="right" w:pos="8306"/>
      </w:tabs>
    </w:pPr>
  </w:style>
  <w:style w:type="character" w:customStyle="1" w:styleId="GalveneRakstz">
    <w:name w:val="Galvene Rakstz."/>
    <w:basedOn w:val="Noklusjumarindkopasfonts"/>
    <w:link w:val="Galvene"/>
    <w:uiPriority w:val="99"/>
    <w:rsid w:val="003A4474"/>
  </w:style>
  <w:style w:type="paragraph" w:styleId="Kjene">
    <w:name w:val="footer"/>
    <w:basedOn w:val="Parasts"/>
    <w:link w:val="KjeneRakstz"/>
    <w:uiPriority w:val="99"/>
    <w:unhideWhenUsed/>
    <w:rsid w:val="003A4474"/>
    <w:pPr>
      <w:tabs>
        <w:tab w:val="center" w:pos="4153"/>
        <w:tab w:val="right" w:pos="8306"/>
      </w:tabs>
    </w:pPr>
  </w:style>
  <w:style w:type="character" w:customStyle="1" w:styleId="KjeneRakstz">
    <w:name w:val="Kājene Rakstz."/>
    <w:basedOn w:val="Noklusjumarindkopasfonts"/>
    <w:link w:val="Kjene"/>
    <w:uiPriority w:val="99"/>
    <w:rsid w:val="003A4474"/>
  </w:style>
  <w:style w:type="paragraph" w:styleId="Balonteksts">
    <w:name w:val="Balloon Text"/>
    <w:basedOn w:val="Parasts"/>
    <w:link w:val="BalontekstsRakstz"/>
    <w:uiPriority w:val="99"/>
    <w:semiHidden/>
    <w:unhideWhenUsed/>
    <w:rsid w:val="008F551A"/>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F55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1747</Words>
  <Characters>996</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8</cp:revision>
  <cp:lastPrinted>2016-03-03T15:18:00Z</cp:lastPrinted>
  <dcterms:created xsi:type="dcterms:W3CDTF">2016-03-01T14:28:00Z</dcterms:created>
  <dcterms:modified xsi:type="dcterms:W3CDTF">2016-03-03T15:28:00Z</dcterms:modified>
</cp:coreProperties>
</file>