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3EF" w:rsidRPr="00F33075" w:rsidRDefault="00A073EF" w:rsidP="00A073EF">
      <w:pPr>
        <w:snapToGrid w:val="0"/>
        <w:jc w:val="center"/>
        <w:rPr>
          <w:b/>
        </w:rPr>
      </w:pPr>
      <w:r w:rsidRPr="00F33075">
        <w:t>Limbažos</w:t>
      </w:r>
    </w:p>
    <w:p w:rsidR="00A073EF" w:rsidRPr="00F33075" w:rsidRDefault="00A073EF" w:rsidP="00A073EF">
      <w:pPr>
        <w:snapToGrid w:val="0"/>
        <w:rPr>
          <w:b/>
        </w:rPr>
      </w:pPr>
    </w:p>
    <w:p w:rsidR="00367B98" w:rsidRPr="00367B98" w:rsidRDefault="00367B98" w:rsidP="00367B98">
      <w:pPr>
        <w:jc w:val="center"/>
        <w:rPr>
          <w:b/>
          <w:bCs/>
          <w:lang w:eastAsia="en-US"/>
        </w:rPr>
      </w:pPr>
      <w:r w:rsidRPr="00367B98">
        <w:rPr>
          <w:b/>
          <w:bCs/>
          <w:lang w:eastAsia="en-US"/>
        </w:rPr>
        <w:t>PASKAIDROJUMA RAKSTS</w:t>
      </w:r>
    </w:p>
    <w:p w:rsidR="00367B98" w:rsidRPr="00367B98" w:rsidRDefault="00367B98" w:rsidP="00367B98">
      <w:pPr>
        <w:jc w:val="center"/>
        <w:rPr>
          <w:b/>
          <w:color w:val="000000"/>
          <w:lang w:eastAsia="en-US"/>
        </w:rPr>
      </w:pPr>
      <w:r w:rsidRPr="00367B98">
        <w:rPr>
          <w:b/>
          <w:color w:val="000000"/>
          <w:lang w:eastAsia="en-US"/>
        </w:rPr>
        <w:t xml:space="preserve">Limbažu novada pašvaldības 2020.gada </w:t>
      </w:r>
      <w:r w:rsidR="00B87B75">
        <w:rPr>
          <w:b/>
          <w:color w:val="000000"/>
          <w:lang w:eastAsia="en-US"/>
        </w:rPr>
        <w:t>30</w:t>
      </w:r>
      <w:r w:rsidRPr="00367B98">
        <w:rPr>
          <w:b/>
          <w:color w:val="000000"/>
          <w:lang w:eastAsia="en-US"/>
        </w:rPr>
        <w:t xml:space="preserve">. jūnija saistošajiem noteikumiem Nr. </w:t>
      </w:r>
      <w:r w:rsidR="00B87B75">
        <w:rPr>
          <w:b/>
          <w:color w:val="000000"/>
          <w:lang w:eastAsia="en-US"/>
        </w:rPr>
        <w:t>17</w:t>
      </w:r>
    </w:p>
    <w:p w:rsidR="00367B98" w:rsidRPr="00367B98" w:rsidRDefault="00367B98" w:rsidP="00367B98">
      <w:pPr>
        <w:jc w:val="center"/>
        <w:rPr>
          <w:b/>
          <w:lang w:eastAsia="en-US"/>
        </w:rPr>
      </w:pPr>
      <w:r w:rsidRPr="00367B98">
        <w:rPr>
          <w:b/>
          <w:lang w:eastAsia="en-US"/>
        </w:rPr>
        <w:t>„</w:t>
      </w:r>
      <w:r w:rsidRPr="00367B98">
        <w:rPr>
          <w:b/>
          <w:bCs/>
          <w:lang w:eastAsia="en-US"/>
        </w:rPr>
        <w:t xml:space="preserve">Grozījumi Limbažu novada </w:t>
      </w:r>
      <w:r>
        <w:rPr>
          <w:b/>
          <w:bCs/>
          <w:lang w:eastAsia="en-US"/>
        </w:rPr>
        <w:t>pašvaldības</w:t>
      </w:r>
      <w:r w:rsidRPr="00367B98">
        <w:rPr>
          <w:b/>
          <w:bCs/>
          <w:lang w:eastAsia="en-US"/>
        </w:rPr>
        <w:t xml:space="preserve"> 2012. gada 24. maija saistošajos noteikumos Nr. 17 „Par ielu tirdzniecību un tirgus statusa piešķiršanas kārtību Limbažu novadā”</w:t>
      </w:r>
    </w:p>
    <w:p w:rsidR="00367B98" w:rsidRPr="00367B98" w:rsidRDefault="00367B98" w:rsidP="00367B98">
      <w:pPr>
        <w:contextualSpacing/>
        <w:rPr>
          <w:rFonts w:eastAsia="Calibr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78"/>
      </w:tblGrid>
      <w:tr w:rsidR="00367B98" w:rsidRPr="00367B98" w:rsidTr="00367B98">
        <w:trPr>
          <w:jc w:val="center"/>
        </w:trPr>
        <w:tc>
          <w:tcPr>
            <w:tcW w:w="2689" w:type="dxa"/>
            <w:tcBorders>
              <w:top w:val="single" w:sz="4" w:space="0" w:color="auto"/>
              <w:left w:val="single" w:sz="4" w:space="0" w:color="auto"/>
              <w:bottom w:val="single" w:sz="4" w:space="0" w:color="auto"/>
              <w:right w:val="single" w:sz="4" w:space="0" w:color="auto"/>
            </w:tcBorders>
            <w:hideMark/>
          </w:tcPr>
          <w:p w:rsidR="00367B98" w:rsidRPr="00367B98" w:rsidRDefault="00367B98" w:rsidP="00367B98">
            <w:pPr>
              <w:contextualSpacing/>
              <w:jc w:val="center"/>
              <w:rPr>
                <w:rFonts w:eastAsia="Calibri"/>
                <w:b/>
              </w:rPr>
            </w:pPr>
            <w:r w:rsidRPr="00367B98">
              <w:rPr>
                <w:rFonts w:eastAsia="Calibri"/>
                <w:b/>
              </w:rPr>
              <w:t xml:space="preserve">Paskaidrojuma </w:t>
            </w:r>
          </w:p>
          <w:p w:rsidR="00367B98" w:rsidRPr="00367B98" w:rsidRDefault="00367B98" w:rsidP="00367B98">
            <w:pPr>
              <w:contextualSpacing/>
              <w:jc w:val="center"/>
              <w:rPr>
                <w:rFonts w:eastAsia="Calibri"/>
                <w:b/>
              </w:rPr>
            </w:pPr>
            <w:r w:rsidRPr="00367B98">
              <w:rPr>
                <w:rFonts w:eastAsia="Calibri"/>
                <w:b/>
              </w:rPr>
              <w:t>raksta sadaļas</w:t>
            </w:r>
          </w:p>
        </w:tc>
        <w:tc>
          <w:tcPr>
            <w:tcW w:w="6378" w:type="dxa"/>
            <w:tcBorders>
              <w:top w:val="single" w:sz="4" w:space="0" w:color="auto"/>
              <w:left w:val="single" w:sz="4" w:space="0" w:color="auto"/>
              <w:bottom w:val="single" w:sz="4" w:space="0" w:color="auto"/>
              <w:right w:val="single" w:sz="4" w:space="0" w:color="auto"/>
            </w:tcBorders>
            <w:hideMark/>
          </w:tcPr>
          <w:p w:rsidR="00367B98" w:rsidRPr="00367B98" w:rsidRDefault="00367B98" w:rsidP="00367B98">
            <w:pPr>
              <w:contextualSpacing/>
              <w:jc w:val="center"/>
              <w:rPr>
                <w:rFonts w:eastAsia="Calibri"/>
                <w:b/>
              </w:rPr>
            </w:pPr>
            <w:r w:rsidRPr="00367B98">
              <w:rPr>
                <w:rFonts w:eastAsia="Calibri"/>
                <w:b/>
              </w:rPr>
              <w:t>Norādāmā informācija</w:t>
            </w:r>
          </w:p>
        </w:tc>
      </w:tr>
      <w:tr w:rsidR="00367B98" w:rsidRPr="00367B98" w:rsidTr="00367B98">
        <w:trPr>
          <w:trHeight w:val="1186"/>
          <w:jc w:val="center"/>
        </w:trPr>
        <w:tc>
          <w:tcPr>
            <w:tcW w:w="2689" w:type="dxa"/>
            <w:tcBorders>
              <w:top w:val="single" w:sz="4" w:space="0" w:color="auto"/>
              <w:left w:val="single" w:sz="4" w:space="0" w:color="auto"/>
              <w:bottom w:val="single" w:sz="4" w:space="0" w:color="auto"/>
              <w:right w:val="single" w:sz="4" w:space="0" w:color="auto"/>
            </w:tcBorders>
            <w:hideMark/>
          </w:tcPr>
          <w:p w:rsidR="00367B98" w:rsidRPr="00367B98" w:rsidRDefault="00367B98" w:rsidP="00367B98">
            <w:pPr>
              <w:contextualSpacing/>
              <w:rPr>
                <w:rFonts w:eastAsia="Calibri"/>
                <w:b/>
                <w:bCs/>
              </w:rPr>
            </w:pPr>
            <w:r w:rsidRPr="00367B98">
              <w:rPr>
                <w:rFonts w:eastAsia="Calibri"/>
              </w:rPr>
              <w:t>1. Projekta nepieciešamības pamatojums</w:t>
            </w:r>
          </w:p>
        </w:tc>
        <w:tc>
          <w:tcPr>
            <w:tcW w:w="6378" w:type="dxa"/>
            <w:tcBorders>
              <w:top w:val="single" w:sz="4" w:space="0" w:color="auto"/>
              <w:left w:val="single" w:sz="4" w:space="0" w:color="auto"/>
              <w:bottom w:val="single" w:sz="4" w:space="0" w:color="auto"/>
              <w:right w:val="single" w:sz="4" w:space="0" w:color="auto"/>
            </w:tcBorders>
          </w:tcPr>
          <w:p w:rsidR="00367B98" w:rsidRPr="00367B98" w:rsidRDefault="00367B98" w:rsidP="00367B98">
            <w:pPr>
              <w:jc w:val="both"/>
              <w:rPr>
                <w:lang w:eastAsia="en-US"/>
              </w:rPr>
            </w:pPr>
            <w:r w:rsidRPr="00367B98">
              <w:rPr>
                <w:lang w:eastAsia="en-US"/>
              </w:rPr>
              <w:t xml:space="preserve">2020.gada 1.jūlijā stājas spēkā Administratīvās atbildības likums, kas nosaka, ka naudas soda apmēru izsaka naudas soda vienībās, kur viena vienība ir 5 (pieci) </w:t>
            </w:r>
            <w:proofErr w:type="spellStart"/>
            <w:r w:rsidRPr="00367B98">
              <w:rPr>
                <w:lang w:eastAsia="en-US"/>
              </w:rPr>
              <w:t>euro</w:t>
            </w:r>
            <w:proofErr w:type="spellEnd"/>
            <w:r w:rsidRPr="00367B98">
              <w:rPr>
                <w:lang w:eastAsia="en-US"/>
              </w:rPr>
              <w:t>, savukārt minimālais naudas sods fiziskajām un juridiskajām personām ir divas naudas soda vienības.</w:t>
            </w:r>
          </w:p>
          <w:p w:rsidR="00367B98" w:rsidRPr="00367B98" w:rsidRDefault="00367B98" w:rsidP="00367B98">
            <w:pPr>
              <w:jc w:val="both"/>
              <w:rPr>
                <w:lang w:eastAsia="en-US"/>
              </w:rPr>
            </w:pPr>
            <w:r w:rsidRPr="00367B98">
              <w:rPr>
                <w:lang w:eastAsia="en-US"/>
              </w:rPr>
              <w:t>Vienlaikus ar Administratīvās atbildības likumu 2020.gada 1.jūliju stāsies spēkā grozījumi Patērētāju tiesību aizsardzības likumā, kas tiks papildināts ar jaunu IX nodaļu “Administratīvie pārkāpumi patērētāju tiesību aizsardzības, tirdzniecības un pakalpojumu sniegšanas jomā un kompetence administratīvo pārkāpumu procesā”, kas noteiks administratīvās atbildības apmēru personām, kas pārkāpj ar tirdzniecību saistītās jomas, kā tirdzniecība neatļautās vietās.</w:t>
            </w:r>
          </w:p>
        </w:tc>
      </w:tr>
      <w:tr w:rsidR="00367B98" w:rsidRPr="00367B98" w:rsidTr="00367B98">
        <w:trPr>
          <w:trHeight w:val="699"/>
          <w:jc w:val="center"/>
        </w:trPr>
        <w:tc>
          <w:tcPr>
            <w:tcW w:w="2689" w:type="dxa"/>
            <w:tcBorders>
              <w:top w:val="single" w:sz="4" w:space="0" w:color="auto"/>
              <w:left w:val="single" w:sz="4" w:space="0" w:color="auto"/>
              <w:bottom w:val="single" w:sz="4" w:space="0" w:color="auto"/>
              <w:right w:val="single" w:sz="4" w:space="0" w:color="auto"/>
            </w:tcBorders>
            <w:hideMark/>
          </w:tcPr>
          <w:p w:rsidR="00367B98" w:rsidRPr="00367B98" w:rsidRDefault="00367B98" w:rsidP="00367B98">
            <w:pPr>
              <w:contextualSpacing/>
              <w:rPr>
                <w:rFonts w:eastAsia="Calibri"/>
                <w:b/>
                <w:bCs/>
              </w:rPr>
            </w:pPr>
            <w:r w:rsidRPr="00367B98">
              <w:rPr>
                <w:rFonts w:eastAsia="Calibri"/>
              </w:rPr>
              <w:t>2. Īss projekta satura izklāsts</w:t>
            </w:r>
          </w:p>
        </w:tc>
        <w:tc>
          <w:tcPr>
            <w:tcW w:w="6378" w:type="dxa"/>
            <w:tcBorders>
              <w:top w:val="single" w:sz="4" w:space="0" w:color="auto"/>
              <w:left w:val="single" w:sz="4" w:space="0" w:color="auto"/>
              <w:bottom w:val="single" w:sz="4" w:space="0" w:color="auto"/>
              <w:right w:val="single" w:sz="4" w:space="0" w:color="auto"/>
            </w:tcBorders>
          </w:tcPr>
          <w:p w:rsidR="00367B98" w:rsidRPr="00367B98" w:rsidRDefault="00367B98" w:rsidP="00367B98">
            <w:pPr>
              <w:jc w:val="both"/>
            </w:pPr>
            <w:r w:rsidRPr="00367B98">
              <w:t xml:space="preserve">Saistošajos noteikumos nepieciešams veikt grozījumus 18.  punktā, norādot atsauci uz </w:t>
            </w:r>
            <w:r w:rsidRPr="00367B98">
              <w:rPr>
                <w:lang w:eastAsia="en-US"/>
              </w:rPr>
              <w:t>Patērētāju tiesību aizsardzības likumu</w:t>
            </w:r>
            <w:r w:rsidRPr="00367B98">
              <w:t>, kas no 2020.gada 1.jūlija paredzēs administratīvās atbildības apmēru personām, kas pārkāpj tirdzniecības noteikumus. Aizstājams termins</w:t>
            </w:r>
            <w:r w:rsidR="00B87B75">
              <w:t xml:space="preserve"> </w:t>
            </w:r>
            <w:bookmarkStart w:id="0" w:name="_GoBack"/>
            <w:bookmarkEnd w:id="0"/>
            <w:r w:rsidRPr="00367B98">
              <w:t>- administratīvā pārkāpuma protokols ar administratīvā pārkāpuma lēmumu.</w:t>
            </w:r>
          </w:p>
        </w:tc>
      </w:tr>
      <w:tr w:rsidR="00367B98" w:rsidRPr="00367B98" w:rsidTr="00367B98">
        <w:trPr>
          <w:jc w:val="center"/>
        </w:trPr>
        <w:tc>
          <w:tcPr>
            <w:tcW w:w="2689" w:type="dxa"/>
            <w:tcBorders>
              <w:top w:val="single" w:sz="4" w:space="0" w:color="auto"/>
              <w:left w:val="single" w:sz="4" w:space="0" w:color="auto"/>
              <w:bottom w:val="single" w:sz="4" w:space="0" w:color="auto"/>
              <w:right w:val="single" w:sz="4" w:space="0" w:color="auto"/>
            </w:tcBorders>
            <w:hideMark/>
          </w:tcPr>
          <w:p w:rsidR="00367B98" w:rsidRPr="00367B98" w:rsidRDefault="00367B98" w:rsidP="00367B98">
            <w:pPr>
              <w:ind w:right="-108"/>
              <w:contextualSpacing/>
              <w:rPr>
                <w:rFonts w:eastAsia="Calibri"/>
                <w:b/>
                <w:bCs/>
              </w:rPr>
            </w:pPr>
            <w:r w:rsidRPr="00367B98">
              <w:rPr>
                <w:rFonts w:eastAsia="Calibri"/>
              </w:rPr>
              <w:t>3. Informācija par plānoto projekta ietekmi uz pašvaldības budžetu</w:t>
            </w:r>
          </w:p>
        </w:tc>
        <w:tc>
          <w:tcPr>
            <w:tcW w:w="6378" w:type="dxa"/>
            <w:tcBorders>
              <w:top w:val="single" w:sz="4" w:space="0" w:color="auto"/>
              <w:left w:val="single" w:sz="4" w:space="0" w:color="auto"/>
              <w:bottom w:val="single" w:sz="4" w:space="0" w:color="auto"/>
              <w:right w:val="single" w:sz="4" w:space="0" w:color="auto"/>
            </w:tcBorders>
          </w:tcPr>
          <w:p w:rsidR="00367B98" w:rsidRPr="00367B98" w:rsidRDefault="00367B98" w:rsidP="00367B98">
            <w:pPr>
              <w:contextualSpacing/>
              <w:jc w:val="both"/>
              <w:rPr>
                <w:rFonts w:eastAsia="Calibri"/>
                <w:bCs/>
              </w:rPr>
            </w:pPr>
            <w:r w:rsidRPr="00367B98">
              <w:rPr>
                <w:rFonts w:eastAsia="Calibri"/>
                <w:bCs/>
              </w:rPr>
              <w:t>Saistošo noteikumu īstenošanas rezultātā finansiālā ietekme uz pašvaldības budžetu nav.</w:t>
            </w:r>
          </w:p>
        </w:tc>
      </w:tr>
      <w:tr w:rsidR="00367B98" w:rsidRPr="00367B98" w:rsidTr="00367B98">
        <w:trPr>
          <w:jc w:val="center"/>
        </w:trPr>
        <w:tc>
          <w:tcPr>
            <w:tcW w:w="2689" w:type="dxa"/>
            <w:tcBorders>
              <w:top w:val="single" w:sz="4" w:space="0" w:color="auto"/>
              <w:left w:val="single" w:sz="4" w:space="0" w:color="auto"/>
              <w:bottom w:val="single" w:sz="4" w:space="0" w:color="auto"/>
              <w:right w:val="single" w:sz="4" w:space="0" w:color="auto"/>
            </w:tcBorders>
            <w:hideMark/>
          </w:tcPr>
          <w:p w:rsidR="00367B98" w:rsidRPr="00367B98" w:rsidRDefault="00367B98" w:rsidP="00367B98">
            <w:pPr>
              <w:ind w:right="-108"/>
              <w:contextualSpacing/>
              <w:rPr>
                <w:rFonts w:eastAsia="Calibri"/>
                <w:b/>
                <w:bCs/>
              </w:rPr>
            </w:pPr>
            <w:r w:rsidRPr="00367B98">
              <w:rPr>
                <w:rFonts w:eastAsia="Calibri"/>
              </w:rPr>
              <w:t>4. Informācija par plānoto projekta ietekmi uz uzņēmējdarbības vidi pašvaldības teritorijā</w:t>
            </w:r>
          </w:p>
        </w:tc>
        <w:tc>
          <w:tcPr>
            <w:tcW w:w="6378" w:type="dxa"/>
            <w:tcBorders>
              <w:top w:val="single" w:sz="4" w:space="0" w:color="auto"/>
              <w:left w:val="single" w:sz="4" w:space="0" w:color="auto"/>
              <w:bottom w:val="single" w:sz="4" w:space="0" w:color="auto"/>
              <w:right w:val="single" w:sz="4" w:space="0" w:color="auto"/>
            </w:tcBorders>
          </w:tcPr>
          <w:p w:rsidR="00367B98" w:rsidRPr="00367B98" w:rsidRDefault="00367B98" w:rsidP="00367B98">
            <w:pPr>
              <w:contextualSpacing/>
              <w:jc w:val="both"/>
              <w:rPr>
                <w:rFonts w:eastAsia="Calibri"/>
                <w:bCs/>
              </w:rPr>
            </w:pPr>
            <w:r w:rsidRPr="00367B98">
              <w:rPr>
                <w:rFonts w:eastAsia="Calibri"/>
                <w:bCs/>
              </w:rPr>
              <w:t>Saistošo noteikumu īstenošanai netiek prognozēta tieša</w:t>
            </w:r>
            <w:r>
              <w:rPr>
                <w:rFonts w:eastAsia="Calibri"/>
                <w:bCs/>
              </w:rPr>
              <w:t xml:space="preserve"> </w:t>
            </w:r>
            <w:r w:rsidRPr="00367B98">
              <w:rPr>
                <w:rFonts w:eastAsia="Calibri"/>
                <w:bCs/>
              </w:rPr>
              <w:t>ietekme uz uzņēmējdarbības vidi novada pašvaldības teritorijā.</w:t>
            </w:r>
          </w:p>
        </w:tc>
      </w:tr>
      <w:tr w:rsidR="00367B98" w:rsidRPr="00367B98" w:rsidTr="00367B98">
        <w:trPr>
          <w:jc w:val="center"/>
        </w:trPr>
        <w:tc>
          <w:tcPr>
            <w:tcW w:w="2689" w:type="dxa"/>
            <w:tcBorders>
              <w:top w:val="single" w:sz="4" w:space="0" w:color="auto"/>
              <w:left w:val="single" w:sz="4" w:space="0" w:color="auto"/>
              <w:bottom w:val="single" w:sz="4" w:space="0" w:color="auto"/>
              <w:right w:val="single" w:sz="4" w:space="0" w:color="auto"/>
            </w:tcBorders>
            <w:hideMark/>
          </w:tcPr>
          <w:p w:rsidR="00367B98" w:rsidRPr="00367B98" w:rsidRDefault="00367B98" w:rsidP="00367B98">
            <w:pPr>
              <w:contextualSpacing/>
              <w:rPr>
                <w:rFonts w:eastAsia="Calibri"/>
                <w:b/>
                <w:bCs/>
              </w:rPr>
            </w:pPr>
            <w:r w:rsidRPr="00367B98">
              <w:rPr>
                <w:rFonts w:eastAsia="Calibri"/>
              </w:rPr>
              <w:t>5. Informācija par administratīvajām procedūrām</w:t>
            </w:r>
          </w:p>
        </w:tc>
        <w:tc>
          <w:tcPr>
            <w:tcW w:w="6378" w:type="dxa"/>
            <w:tcBorders>
              <w:top w:val="single" w:sz="4" w:space="0" w:color="auto"/>
              <w:left w:val="single" w:sz="4" w:space="0" w:color="auto"/>
              <w:bottom w:val="single" w:sz="4" w:space="0" w:color="auto"/>
              <w:right w:val="single" w:sz="4" w:space="0" w:color="auto"/>
            </w:tcBorders>
          </w:tcPr>
          <w:p w:rsidR="00367B98" w:rsidRPr="00367B98" w:rsidRDefault="00367B98" w:rsidP="00367B98">
            <w:pPr>
              <w:contextualSpacing/>
              <w:jc w:val="both"/>
              <w:rPr>
                <w:rFonts w:eastAsia="Calibri"/>
                <w:bCs/>
              </w:rPr>
            </w:pPr>
            <w:r w:rsidRPr="00367B98">
              <w:rPr>
                <w:rFonts w:eastAsia="Calibri"/>
                <w:bCs/>
              </w:rPr>
              <w:t>Saistošie noteikumi neietekmēs administratīvās procedūras.</w:t>
            </w:r>
          </w:p>
        </w:tc>
      </w:tr>
      <w:tr w:rsidR="00367B98" w:rsidRPr="00367B98" w:rsidTr="00367B98">
        <w:trPr>
          <w:trHeight w:val="888"/>
          <w:jc w:val="center"/>
        </w:trPr>
        <w:tc>
          <w:tcPr>
            <w:tcW w:w="2689" w:type="dxa"/>
            <w:tcBorders>
              <w:top w:val="single" w:sz="4" w:space="0" w:color="auto"/>
              <w:left w:val="single" w:sz="4" w:space="0" w:color="auto"/>
              <w:bottom w:val="single" w:sz="4" w:space="0" w:color="auto"/>
              <w:right w:val="single" w:sz="4" w:space="0" w:color="auto"/>
            </w:tcBorders>
            <w:hideMark/>
          </w:tcPr>
          <w:p w:rsidR="00367B98" w:rsidRPr="00367B98" w:rsidRDefault="00367B98" w:rsidP="00367B98">
            <w:pPr>
              <w:ind w:right="-108"/>
              <w:contextualSpacing/>
              <w:rPr>
                <w:rFonts w:eastAsia="Calibri"/>
                <w:b/>
                <w:bCs/>
              </w:rPr>
            </w:pPr>
            <w:r w:rsidRPr="00367B98">
              <w:rPr>
                <w:rFonts w:eastAsia="Calibri"/>
              </w:rPr>
              <w:t>6. Informācija par konsultācijām ar privātpersonām</w:t>
            </w:r>
          </w:p>
        </w:tc>
        <w:tc>
          <w:tcPr>
            <w:tcW w:w="6378" w:type="dxa"/>
            <w:tcBorders>
              <w:top w:val="single" w:sz="4" w:space="0" w:color="auto"/>
              <w:left w:val="single" w:sz="4" w:space="0" w:color="auto"/>
              <w:bottom w:val="single" w:sz="4" w:space="0" w:color="auto"/>
              <w:right w:val="single" w:sz="4" w:space="0" w:color="auto"/>
            </w:tcBorders>
            <w:hideMark/>
          </w:tcPr>
          <w:p w:rsidR="00367B98" w:rsidRPr="00367B98" w:rsidRDefault="00367B98" w:rsidP="00367B98">
            <w:pPr>
              <w:contextualSpacing/>
              <w:jc w:val="both"/>
              <w:rPr>
                <w:rFonts w:eastAsia="Calibri"/>
                <w:b/>
                <w:bCs/>
              </w:rPr>
            </w:pPr>
            <w:r w:rsidRPr="00367B98">
              <w:rPr>
                <w:rFonts w:eastAsia="Calibri"/>
              </w:rPr>
              <w:t>Nav attiecināms.</w:t>
            </w:r>
          </w:p>
        </w:tc>
      </w:tr>
    </w:tbl>
    <w:p w:rsidR="00367B98" w:rsidRPr="00367B98" w:rsidRDefault="00367B98" w:rsidP="00367B98">
      <w:pPr>
        <w:contextualSpacing/>
        <w:jc w:val="both"/>
        <w:rPr>
          <w:rFonts w:eastAsia="Calibri"/>
          <w:b/>
          <w:bCs/>
        </w:rPr>
      </w:pPr>
    </w:p>
    <w:p w:rsidR="00367B98" w:rsidRPr="00367B98" w:rsidRDefault="00367B98" w:rsidP="00367B98">
      <w:pPr>
        <w:ind w:right="43"/>
        <w:contextualSpacing/>
        <w:rPr>
          <w:rFonts w:eastAsia="Calibri"/>
        </w:rPr>
      </w:pPr>
      <w:r w:rsidRPr="00367B98">
        <w:rPr>
          <w:rFonts w:eastAsia="Calibri"/>
        </w:rPr>
        <w:t>Limbažu novada pašvaldības</w:t>
      </w:r>
    </w:p>
    <w:p w:rsidR="00A073EF" w:rsidRDefault="00367B98" w:rsidP="00367B98">
      <w:pPr>
        <w:tabs>
          <w:tab w:val="left" w:pos="4678"/>
          <w:tab w:val="left" w:pos="8364"/>
        </w:tabs>
        <w:ind w:right="43"/>
        <w:contextualSpacing/>
        <w:rPr>
          <w:b/>
        </w:rPr>
      </w:pPr>
      <w:r w:rsidRPr="00367B98">
        <w:rPr>
          <w:rFonts w:eastAsia="Calibri"/>
        </w:rPr>
        <w:t>Domes priekšsēdētājs</w:t>
      </w:r>
      <w:r w:rsidRPr="00367B98">
        <w:rPr>
          <w:rFonts w:eastAsia="Calibri"/>
        </w:rPr>
        <w:tab/>
      </w:r>
      <w:r w:rsidRPr="00367B98">
        <w:rPr>
          <w:rFonts w:eastAsia="Calibri"/>
        </w:rPr>
        <w:tab/>
        <w:t>D. Zemmers</w:t>
      </w:r>
    </w:p>
    <w:sectPr w:rsidR="00A073EF" w:rsidSect="00367B98">
      <w:headerReference w:type="first" r:id="rId7"/>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850" w:rsidRDefault="00C86850" w:rsidP="00367B98">
      <w:r>
        <w:separator/>
      </w:r>
    </w:p>
  </w:endnote>
  <w:endnote w:type="continuationSeparator" w:id="0">
    <w:p w:rsidR="00C86850" w:rsidRDefault="00C86850" w:rsidP="0036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850" w:rsidRDefault="00C86850" w:rsidP="00367B98">
      <w:r>
        <w:separator/>
      </w:r>
    </w:p>
  </w:footnote>
  <w:footnote w:type="continuationSeparator" w:id="0">
    <w:p w:rsidR="00C86850" w:rsidRDefault="00C86850" w:rsidP="0036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B98" w:rsidRDefault="00367B98">
    <w:pPr>
      <w:pStyle w:val="Galvene"/>
    </w:pPr>
    <w:r w:rsidRPr="004A1D4A">
      <w:rPr>
        <w:noProof/>
      </w:rPr>
      <w:drawing>
        <wp:anchor distT="0" distB="0" distL="114300" distR="114300" simplePos="0" relativeHeight="251659264" behindDoc="1" locked="0" layoutInCell="1" allowOverlap="1" wp14:anchorId="6E8C1C46" wp14:editId="1025AAC3">
          <wp:simplePos x="0" y="0"/>
          <wp:positionH relativeFrom="page">
            <wp:posOffset>17145</wp:posOffset>
          </wp:positionH>
          <wp:positionV relativeFrom="paragraph">
            <wp:posOffset>-448310</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EAC"/>
    <w:multiLevelType w:val="hybridMultilevel"/>
    <w:tmpl w:val="0D468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9710F2"/>
    <w:multiLevelType w:val="multilevel"/>
    <w:tmpl w:val="99CCA88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745124"/>
    <w:multiLevelType w:val="multilevel"/>
    <w:tmpl w:val="0624059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1A60FC"/>
    <w:multiLevelType w:val="hybridMultilevel"/>
    <w:tmpl w:val="BB10E1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E46523"/>
    <w:multiLevelType w:val="multilevel"/>
    <w:tmpl w:val="9926B3DC"/>
    <w:lvl w:ilvl="0">
      <w:start w:val="1"/>
      <w:numFmt w:val="decimal"/>
      <w:lvlText w:val="%1."/>
      <w:lvlJc w:val="left"/>
      <w:pPr>
        <w:ind w:left="644"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F4F2F35"/>
    <w:multiLevelType w:val="multilevel"/>
    <w:tmpl w:val="615091B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EF"/>
    <w:rsid w:val="00037D7A"/>
    <w:rsid w:val="000930EC"/>
    <w:rsid w:val="00096A9B"/>
    <w:rsid w:val="000E6C2D"/>
    <w:rsid w:val="00104D71"/>
    <w:rsid w:val="00112144"/>
    <w:rsid w:val="001A370A"/>
    <w:rsid w:val="001C3BCA"/>
    <w:rsid w:val="001D6119"/>
    <w:rsid w:val="001E453B"/>
    <w:rsid w:val="00203ADC"/>
    <w:rsid w:val="00216BD8"/>
    <w:rsid w:val="00236B93"/>
    <w:rsid w:val="00272F5A"/>
    <w:rsid w:val="002A7FF1"/>
    <w:rsid w:val="002E1AEC"/>
    <w:rsid w:val="002F0A1B"/>
    <w:rsid w:val="0030286F"/>
    <w:rsid w:val="00335007"/>
    <w:rsid w:val="003409F1"/>
    <w:rsid w:val="00360949"/>
    <w:rsid w:val="00367B98"/>
    <w:rsid w:val="003765F6"/>
    <w:rsid w:val="003F355A"/>
    <w:rsid w:val="004078C3"/>
    <w:rsid w:val="00407961"/>
    <w:rsid w:val="0042307A"/>
    <w:rsid w:val="00441955"/>
    <w:rsid w:val="00443423"/>
    <w:rsid w:val="004861CC"/>
    <w:rsid w:val="00486C72"/>
    <w:rsid w:val="004949C7"/>
    <w:rsid w:val="004C25C5"/>
    <w:rsid w:val="005D2945"/>
    <w:rsid w:val="005F1E4A"/>
    <w:rsid w:val="00623DD3"/>
    <w:rsid w:val="00661BCB"/>
    <w:rsid w:val="006A4A7A"/>
    <w:rsid w:val="006C3BC6"/>
    <w:rsid w:val="006E09C6"/>
    <w:rsid w:val="006E1F7C"/>
    <w:rsid w:val="00710C2B"/>
    <w:rsid w:val="00721F37"/>
    <w:rsid w:val="00723891"/>
    <w:rsid w:val="00736EFA"/>
    <w:rsid w:val="00760114"/>
    <w:rsid w:val="007617CF"/>
    <w:rsid w:val="00787638"/>
    <w:rsid w:val="00791FBD"/>
    <w:rsid w:val="007D1142"/>
    <w:rsid w:val="00803EF5"/>
    <w:rsid w:val="00894AE5"/>
    <w:rsid w:val="008A6D86"/>
    <w:rsid w:val="008C397F"/>
    <w:rsid w:val="008D48D5"/>
    <w:rsid w:val="008E2F79"/>
    <w:rsid w:val="008F3CC8"/>
    <w:rsid w:val="0092362A"/>
    <w:rsid w:val="00963518"/>
    <w:rsid w:val="009877EA"/>
    <w:rsid w:val="009B16FA"/>
    <w:rsid w:val="009E6819"/>
    <w:rsid w:val="009F4FCE"/>
    <w:rsid w:val="00A073EF"/>
    <w:rsid w:val="00A14894"/>
    <w:rsid w:val="00A513B2"/>
    <w:rsid w:val="00AB177A"/>
    <w:rsid w:val="00AE1256"/>
    <w:rsid w:val="00B55642"/>
    <w:rsid w:val="00B87B75"/>
    <w:rsid w:val="00BA5EE6"/>
    <w:rsid w:val="00BA6B84"/>
    <w:rsid w:val="00BC0579"/>
    <w:rsid w:val="00BD6DCC"/>
    <w:rsid w:val="00BE6FFA"/>
    <w:rsid w:val="00C52533"/>
    <w:rsid w:val="00C6367A"/>
    <w:rsid w:val="00C8395D"/>
    <w:rsid w:val="00C86850"/>
    <w:rsid w:val="00CD010E"/>
    <w:rsid w:val="00CF6105"/>
    <w:rsid w:val="00D13155"/>
    <w:rsid w:val="00D64168"/>
    <w:rsid w:val="00D8192D"/>
    <w:rsid w:val="00D84FBA"/>
    <w:rsid w:val="00DA510A"/>
    <w:rsid w:val="00DC309C"/>
    <w:rsid w:val="00DE63AC"/>
    <w:rsid w:val="00DF3E83"/>
    <w:rsid w:val="00E15DDD"/>
    <w:rsid w:val="00EC103E"/>
    <w:rsid w:val="00EC49EF"/>
    <w:rsid w:val="00EF6A26"/>
    <w:rsid w:val="00F0031A"/>
    <w:rsid w:val="00F23DD5"/>
    <w:rsid w:val="00F42329"/>
    <w:rsid w:val="00F8170A"/>
    <w:rsid w:val="00FA7B7F"/>
    <w:rsid w:val="00FC4CBE"/>
    <w:rsid w:val="00FF53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8125B-AEBA-46D0-AC43-2AB8B43A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073E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073EF"/>
    <w:pPr>
      <w:spacing w:after="200" w:line="276" w:lineRule="auto"/>
      <w:ind w:left="720"/>
      <w:contextualSpacing/>
      <w:jc w:val="both"/>
    </w:pPr>
    <w:rPr>
      <w:rFonts w:eastAsiaTheme="minorHAnsi" w:cstheme="minorBidi"/>
      <w:szCs w:val="22"/>
      <w:lang w:eastAsia="en-US"/>
    </w:rPr>
  </w:style>
  <w:style w:type="paragraph" w:customStyle="1" w:styleId="Default">
    <w:name w:val="Default"/>
    <w:qFormat/>
    <w:rsid w:val="00A073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Parasts"/>
    <w:rsid w:val="00A073EF"/>
    <w:pPr>
      <w:widowControl w:val="0"/>
      <w:autoSpaceDE w:val="0"/>
      <w:autoSpaceDN w:val="0"/>
      <w:adjustRightInd w:val="0"/>
      <w:spacing w:line="244" w:lineRule="exact"/>
      <w:jc w:val="right"/>
    </w:pPr>
  </w:style>
  <w:style w:type="character" w:styleId="Hipersaite">
    <w:name w:val="Hyperlink"/>
    <w:basedOn w:val="Noklusjumarindkopasfonts"/>
    <w:uiPriority w:val="99"/>
    <w:unhideWhenUsed/>
    <w:rsid w:val="00A073EF"/>
    <w:rPr>
      <w:color w:val="0000FF" w:themeColor="hyperlink"/>
      <w:u w:val="single"/>
    </w:rPr>
  </w:style>
  <w:style w:type="paragraph" w:styleId="Balonteksts">
    <w:name w:val="Balloon Text"/>
    <w:basedOn w:val="Parasts"/>
    <w:link w:val="BalontekstsRakstz"/>
    <w:uiPriority w:val="99"/>
    <w:semiHidden/>
    <w:unhideWhenUsed/>
    <w:rsid w:val="00661BC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61BCB"/>
    <w:rPr>
      <w:rFonts w:ascii="Tahoma" w:eastAsia="Times New Roman" w:hAnsi="Tahoma" w:cs="Tahoma"/>
      <w:sz w:val="16"/>
      <w:szCs w:val="16"/>
      <w:lang w:eastAsia="lv-LV"/>
    </w:rPr>
  </w:style>
  <w:style w:type="paragraph" w:styleId="Galvene">
    <w:name w:val="header"/>
    <w:basedOn w:val="Parasts"/>
    <w:link w:val="GalveneRakstz"/>
    <w:uiPriority w:val="99"/>
    <w:unhideWhenUsed/>
    <w:rsid w:val="00367B98"/>
    <w:pPr>
      <w:tabs>
        <w:tab w:val="center" w:pos="4153"/>
        <w:tab w:val="right" w:pos="8306"/>
      </w:tabs>
    </w:pPr>
  </w:style>
  <w:style w:type="character" w:customStyle="1" w:styleId="GalveneRakstz">
    <w:name w:val="Galvene Rakstz."/>
    <w:basedOn w:val="Noklusjumarindkopasfonts"/>
    <w:link w:val="Galvene"/>
    <w:uiPriority w:val="99"/>
    <w:rsid w:val="00367B9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67B98"/>
    <w:pPr>
      <w:tabs>
        <w:tab w:val="center" w:pos="4153"/>
        <w:tab w:val="right" w:pos="8306"/>
      </w:tabs>
    </w:pPr>
  </w:style>
  <w:style w:type="character" w:customStyle="1" w:styleId="KjeneRakstz">
    <w:name w:val="Kājene Rakstz."/>
    <w:basedOn w:val="Noklusjumarindkopasfonts"/>
    <w:link w:val="Kjene"/>
    <w:uiPriority w:val="99"/>
    <w:rsid w:val="00367B9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26261">
      <w:bodyDiv w:val="1"/>
      <w:marLeft w:val="0"/>
      <w:marRight w:val="0"/>
      <w:marTop w:val="0"/>
      <w:marBottom w:val="0"/>
      <w:divBdr>
        <w:top w:val="none" w:sz="0" w:space="0" w:color="auto"/>
        <w:left w:val="none" w:sz="0" w:space="0" w:color="auto"/>
        <w:bottom w:val="none" w:sz="0" w:space="0" w:color="auto"/>
        <w:right w:val="none" w:sz="0" w:space="0" w:color="auto"/>
      </w:divBdr>
    </w:div>
    <w:div w:id="1818304386">
      <w:bodyDiv w:val="1"/>
      <w:marLeft w:val="0"/>
      <w:marRight w:val="0"/>
      <w:marTop w:val="0"/>
      <w:marBottom w:val="0"/>
      <w:divBdr>
        <w:top w:val="none" w:sz="0" w:space="0" w:color="auto"/>
        <w:left w:val="none" w:sz="0" w:space="0" w:color="auto"/>
        <w:bottom w:val="none" w:sz="0" w:space="0" w:color="auto"/>
        <w:right w:val="none" w:sz="0" w:space="0" w:color="auto"/>
      </w:divBdr>
    </w:div>
    <w:div w:id="1960070473">
      <w:bodyDiv w:val="1"/>
      <w:marLeft w:val="0"/>
      <w:marRight w:val="0"/>
      <w:marTop w:val="0"/>
      <w:marBottom w:val="0"/>
      <w:divBdr>
        <w:top w:val="none" w:sz="0" w:space="0" w:color="auto"/>
        <w:left w:val="none" w:sz="0" w:space="0" w:color="auto"/>
        <w:bottom w:val="none" w:sz="0" w:space="0" w:color="auto"/>
        <w:right w:val="none" w:sz="0" w:space="0" w:color="auto"/>
      </w:divBdr>
    </w:div>
    <w:div w:id="2049641793">
      <w:bodyDiv w:val="1"/>
      <w:marLeft w:val="0"/>
      <w:marRight w:val="0"/>
      <w:marTop w:val="0"/>
      <w:marBottom w:val="0"/>
      <w:divBdr>
        <w:top w:val="none" w:sz="0" w:space="0" w:color="auto"/>
        <w:left w:val="none" w:sz="0" w:space="0" w:color="auto"/>
        <w:bottom w:val="none" w:sz="0" w:space="0" w:color="auto"/>
        <w:right w:val="none" w:sz="0" w:space="0" w:color="auto"/>
      </w:divBdr>
      <w:divsChild>
        <w:div w:id="2065105263">
          <w:marLeft w:val="0"/>
          <w:marRight w:val="0"/>
          <w:marTop w:val="0"/>
          <w:marBottom w:val="0"/>
          <w:divBdr>
            <w:top w:val="none" w:sz="0" w:space="0" w:color="auto"/>
            <w:left w:val="none" w:sz="0" w:space="0" w:color="auto"/>
            <w:bottom w:val="none" w:sz="0" w:space="0" w:color="auto"/>
            <w:right w:val="none" w:sz="0" w:space="0" w:color="auto"/>
          </w:divBdr>
        </w:div>
        <w:div w:id="162413">
          <w:marLeft w:val="0"/>
          <w:marRight w:val="0"/>
          <w:marTop w:val="0"/>
          <w:marBottom w:val="0"/>
          <w:divBdr>
            <w:top w:val="none" w:sz="0" w:space="0" w:color="auto"/>
            <w:left w:val="none" w:sz="0" w:space="0" w:color="auto"/>
            <w:bottom w:val="none" w:sz="0" w:space="0" w:color="auto"/>
            <w:right w:val="none" w:sz="0" w:space="0" w:color="auto"/>
          </w:divBdr>
        </w:div>
        <w:div w:id="1434932501">
          <w:marLeft w:val="0"/>
          <w:marRight w:val="0"/>
          <w:marTop w:val="0"/>
          <w:marBottom w:val="0"/>
          <w:divBdr>
            <w:top w:val="none" w:sz="0" w:space="0" w:color="auto"/>
            <w:left w:val="none" w:sz="0" w:space="0" w:color="auto"/>
            <w:bottom w:val="none" w:sz="0" w:space="0" w:color="auto"/>
            <w:right w:val="none" w:sz="0" w:space="0" w:color="auto"/>
          </w:divBdr>
        </w:div>
        <w:div w:id="410859298">
          <w:marLeft w:val="0"/>
          <w:marRight w:val="0"/>
          <w:marTop w:val="0"/>
          <w:marBottom w:val="0"/>
          <w:divBdr>
            <w:top w:val="none" w:sz="0" w:space="0" w:color="auto"/>
            <w:left w:val="none" w:sz="0" w:space="0" w:color="auto"/>
            <w:bottom w:val="none" w:sz="0" w:space="0" w:color="auto"/>
            <w:right w:val="none" w:sz="0" w:space="0" w:color="auto"/>
          </w:divBdr>
        </w:div>
        <w:div w:id="891111341">
          <w:marLeft w:val="0"/>
          <w:marRight w:val="0"/>
          <w:marTop w:val="0"/>
          <w:marBottom w:val="0"/>
          <w:divBdr>
            <w:top w:val="none" w:sz="0" w:space="0" w:color="auto"/>
            <w:left w:val="none" w:sz="0" w:space="0" w:color="auto"/>
            <w:bottom w:val="none" w:sz="0" w:space="0" w:color="auto"/>
            <w:right w:val="none" w:sz="0" w:space="0" w:color="auto"/>
          </w:divBdr>
        </w:div>
        <w:div w:id="1628271245">
          <w:marLeft w:val="0"/>
          <w:marRight w:val="0"/>
          <w:marTop w:val="0"/>
          <w:marBottom w:val="0"/>
          <w:divBdr>
            <w:top w:val="none" w:sz="0" w:space="0" w:color="auto"/>
            <w:left w:val="none" w:sz="0" w:space="0" w:color="auto"/>
            <w:bottom w:val="none" w:sz="0" w:space="0" w:color="auto"/>
            <w:right w:val="none" w:sz="0" w:space="0" w:color="auto"/>
          </w:divBdr>
        </w:div>
        <w:div w:id="749666590">
          <w:marLeft w:val="0"/>
          <w:marRight w:val="0"/>
          <w:marTop w:val="0"/>
          <w:marBottom w:val="0"/>
          <w:divBdr>
            <w:top w:val="none" w:sz="0" w:space="0" w:color="auto"/>
            <w:left w:val="none" w:sz="0" w:space="0" w:color="auto"/>
            <w:bottom w:val="none" w:sz="0" w:space="0" w:color="auto"/>
            <w:right w:val="none" w:sz="0" w:space="0" w:color="auto"/>
          </w:divBdr>
        </w:div>
        <w:div w:id="1640264472">
          <w:marLeft w:val="0"/>
          <w:marRight w:val="0"/>
          <w:marTop w:val="0"/>
          <w:marBottom w:val="0"/>
          <w:divBdr>
            <w:top w:val="none" w:sz="0" w:space="0" w:color="auto"/>
            <w:left w:val="none" w:sz="0" w:space="0" w:color="auto"/>
            <w:bottom w:val="none" w:sz="0" w:space="0" w:color="auto"/>
            <w:right w:val="none" w:sz="0" w:space="0" w:color="auto"/>
          </w:divBdr>
        </w:div>
        <w:div w:id="2135782744">
          <w:marLeft w:val="0"/>
          <w:marRight w:val="0"/>
          <w:marTop w:val="0"/>
          <w:marBottom w:val="0"/>
          <w:divBdr>
            <w:top w:val="none" w:sz="0" w:space="0" w:color="auto"/>
            <w:left w:val="none" w:sz="0" w:space="0" w:color="auto"/>
            <w:bottom w:val="none" w:sz="0" w:space="0" w:color="auto"/>
            <w:right w:val="none" w:sz="0" w:space="0" w:color="auto"/>
          </w:divBdr>
        </w:div>
        <w:div w:id="1384452021">
          <w:marLeft w:val="0"/>
          <w:marRight w:val="0"/>
          <w:marTop w:val="0"/>
          <w:marBottom w:val="0"/>
          <w:divBdr>
            <w:top w:val="none" w:sz="0" w:space="0" w:color="auto"/>
            <w:left w:val="none" w:sz="0" w:space="0" w:color="auto"/>
            <w:bottom w:val="none" w:sz="0" w:space="0" w:color="auto"/>
            <w:right w:val="none" w:sz="0" w:space="0" w:color="auto"/>
          </w:divBdr>
        </w:div>
        <w:div w:id="506024139">
          <w:marLeft w:val="0"/>
          <w:marRight w:val="0"/>
          <w:marTop w:val="0"/>
          <w:marBottom w:val="0"/>
          <w:divBdr>
            <w:top w:val="none" w:sz="0" w:space="0" w:color="auto"/>
            <w:left w:val="none" w:sz="0" w:space="0" w:color="auto"/>
            <w:bottom w:val="none" w:sz="0" w:space="0" w:color="auto"/>
            <w:right w:val="none" w:sz="0" w:space="0" w:color="auto"/>
          </w:divBdr>
        </w:div>
        <w:div w:id="492723135">
          <w:marLeft w:val="0"/>
          <w:marRight w:val="0"/>
          <w:marTop w:val="0"/>
          <w:marBottom w:val="0"/>
          <w:divBdr>
            <w:top w:val="none" w:sz="0" w:space="0" w:color="auto"/>
            <w:left w:val="none" w:sz="0" w:space="0" w:color="auto"/>
            <w:bottom w:val="none" w:sz="0" w:space="0" w:color="auto"/>
            <w:right w:val="none" w:sz="0" w:space="0" w:color="auto"/>
          </w:divBdr>
        </w:div>
        <w:div w:id="1620992235">
          <w:marLeft w:val="0"/>
          <w:marRight w:val="0"/>
          <w:marTop w:val="0"/>
          <w:marBottom w:val="0"/>
          <w:divBdr>
            <w:top w:val="none" w:sz="0" w:space="0" w:color="auto"/>
            <w:left w:val="none" w:sz="0" w:space="0" w:color="auto"/>
            <w:bottom w:val="none" w:sz="0" w:space="0" w:color="auto"/>
            <w:right w:val="none" w:sz="0" w:space="0" w:color="auto"/>
          </w:divBdr>
        </w:div>
        <w:div w:id="1097562249">
          <w:marLeft w:val="0"/>
          <w:marRight w:val="0"/>
          <w:marTop w:val="0"/>
          <w:marBottom w:val="0"/>
          <w:divBdr>
            <w:top w:val="none" w:sz="0" w:space="0" w:color="auto"/>
            <w:left w:val="none" w:sz="0" w:space="0" w:color="auto"/>
            <w:bottom w:val="none" w:sz="0" w:space="0" w:color="auto"/>
            <w:right w:val="none" w:sz="0" w:space="0" w:color="auto"/>
          </w:divBdr>
        </w:div>
        <w:div w:id="1076778954">
          <w:marLeft w:val="0"/>
          <w:marRight w:val="0"/>
          <w:marTop w:val="0"/>
          <w:marBottom w:val="0"/>
          <w:divBdr>
            <w:top w:val="none" w:sz="0" w:space="0" w:color="auto"/>
            <w:left w:val="none" w:sz="0" w:space="0" w:color="auto"/>
            <w:bottom w:val="none" w:sz="0" w:space="0" w:color="auto"/>
            <w:right w:val="none" w:sz="0" w:space="0" w:color="auto"/>
          </w:divBdr>
        </w:div>
        <w:div w:id="143009818">
          <w:marLeft w:val="0"/>
          <w:marRight w:val="0"/>
          <w:marTop w:val="0"/>
          <w:marBottom w:val="0"/>
          <w:divBdr>
            <w:top w:val="none" w:sz="0" w:space="0" w:color="auto"/>
            <w:left w:val="none" w:sz="0" w:space="0" w:color="auto"/>
            <w:bottom w:val="none" w:sz="0" w:space="0" w:color="auto"/>
            <w:right w:val="none" w:sz="0" w:space="0" w:color="auto"/>
          </w:divBdr>
        </w:div>
        <w:div w:id="2091149970">
          <w:marLeft w:val="0"/>
          <w:marRight w:val="0"/>
          <w:marTop w:val="0"/>
          <w:marBottom w:val="0"/>
          <w:divBdr>
            <w:top w:val="none" w:sz="0" w:space="0" w:color="auto"/>
            <w:left w:val="none" w:sz="0" w:space="0" w:color="auto"/>
            <w:bottom w:val="none" w:sz="0" w:space="0" w:color="auto"/>
            <w:right w:val="none" w:sz="0" w:space="0" w:color="auto"/>
          </w:divBdr>
        </w:div>
        <w:div w:id="113868383">
          <w:marLeft w:val="0"/>
          <w:marRight w:val="0"/>
          <w:marTop w:val="0"/>
          <w:marBottom w:val="0"/>
          <w:divBdr>
            <w:top w:val="none" w:sz="0" w:space="0" w:color="auto"/>
            <w:left w:val="none" w:sz="0" w:space="0" w:color="auto"/>
            <w:bottom w:val="none" w:sz="0" w:space="0" w:color="auto"/>
            <w:right w:val="none" w:sz="0" w:space="0" w:color="auto"/>
          </w:divBdr>
        </w:div>
        <w:div w:id="846016859">
          <w:marLeft w:val="0"/>
          <w:marRight w:val="0"/>
          <w:marTop w:val="0"/>
          <w:marBottom w:val="0"/>
          <w:divBdr>
            <w:top w:val="none" w:sz="0" w:space="0" w:color="auto"/>
            <w:left w:val="none" w:sz="0" w:space="0" w:color="auto"/>
            <w:bottom w:val="none" w:sz="0" w:space="0" w:color="auto"/>
            <w:right w:val="none" w:sz="0" w:space="0" w:color="auto"/>
          </w:divBdr>
        </w:div>
        <w:div w:id="58024134">
          <w:marLeft w:val="0"/>
          <w:marRight w:val="0"/>
          <w:marTop w:val="0"/>
          <w:marBottom w:val="0"/>
          <w:divBdr>
            <w:top w:val="none" w:sz="0" w:space="0" w:color="auto"/>
            <w:left w:val="none" w:sz="0" w:space="0" w:color="auto"/>
            <w:bottom w:val="none" w:sz="0" w:space="0" w:color="auto"/>
            <w:right w:val="none" w:sz="0" w:space="0" w:color="auto"/>
          </w:divBdr>
        </w:div>
        <w:div w:id="64959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1317</Words>
  <Characters>752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Zālīte</dc:creator>
  <cp:lastModifiedBy>Dace Tauriņa</cp:lastModifiedBy>
  <cp:revision>32</cp:revision>
  <cp:lastPrinted>2020-07-02T12:36:00Z</cp:lastPrinted>
  <dcterms:created xsi:type="dcterms:W3CDTF">2020-02-05T14:15:00Z</dcterms:created>
  <dcterms:modified xsi:type="dcterms:W3CDTF">2020-07-02T12:37:00Z</dcterms:modified>
</cp:coreProperties>
</file>